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25BC3">
      <w:pPr>
        <w:spacing w:line="360" w:lineRule="auto"/>
        <w:jc w:val="center"/>
        <w:rPr>
          <w:rFonts w:ascii="宋体" w:hAnsi="宋体" w:eastAsia="宋体"/>
          <w:sz w:val="24"/>
          <w:szCs w:val="24"/>
        </w:rPr>
      </w:pPr>
    </w:p>
    <w:p w14:paraId="2F71AEC5">
      <w:pPr>
        <w:keepNext w:val="0"/>
        <w:keepLines w:val="0"/>
        <w:pageBreakBefore w:val="0"/>
        <w:widowControl/>
        <w:kinsoku/>
        <w:wordWrap/>
        <w:overflowPunct/>
        <w:topLinePunct w:val="0"/>
        <w:autoSpaceDE/>
        <w:autoSpaceDN/>
        <w:bidi w:val="0"/>
        <w:spacing w:line="440" w:lineRule="exact"/>
        <w:jc w:val="center"/>
        <w:textAlignment w:val="auto"/>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rPr>
        <w:t>附件2：</w:t>
      </w:r>
      <w:r>
        <w:rPr>
          <w:rFonts w:hint="eastAsia" w:ascii="宋体" w:hAnsi="宋体" w:eastAsia="宋体" w:cs="宋体"/>
          <w:b/>
          <w:bCs/>
          <w:color w:val="auto"/>
          <w:kern w:val="0"/>
          <w:sz w:val="32"/>
          <w:szCs w:val="32"/>
          <w:lang w:val="en-US" w:eastAsia="zh-CN"/>
        </w:rPr>
        <w:t>广西工业技师学院</w:t>
      </w:r>
    </w:p>
    <w:p w14:paraId="2AF05359">
      <w:pPr>
        <w:keepNext w:val="0"/>
        <w:keepLines w:val="0"/>
        <w:pageBreakBefore w:val="0"/>
        <w:widowControl/>
        <w:kinsoku/>
        <w:wordWrap/>
        <w:overflowPunct/>
        <w:topLinePunct w:val="0"/>
        <w:autoSpaceDE/>
        <w:autoSpaceDN/>
        <w:bidi w:val="0"/>
        <w:spacing w:line="440" w:lineRule="exact"/>
        <w:jc w:val="center"/>
        <w:textAlignment w:val="auto"/>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lang w:val="en-US" w:eastAsia="zh-CN"/>
        </w:rPr>
        <w:t>机电一体化优质专业内涵建设及服务项目</w:t>
      </w:r>
      <w:r>
        <w:rPr>
          <w:rFonts w:hint="eastAsia" w:ascii="宋体" w:hAnsi="宋体" w:eastAsia="宋体" w:cs="宋体"/>
          <w:b/>
          <w:bCs/>
          <w:color w:val="auto"/>
          <w:kern w:val="0"/>
          <w:sz w:val="32"/>
          <w:szCs w:val="32"/>
        </w:rPr>
        <w:t>评价办法</w:t>
      </w:r>
    </w:p>
    <w:p w14:paraId="7776ADA5">
      <w:pPr>
        <w:pStyle w:val="2"/>
        <w:rPr>
          <w:lang w:eastAsia="zh-CN"/>
        </w:rPr>
      </w:pPr>
    </w:p>
    <w:p w14:paraId="5419B72E">
      <w:pPr>
        <w:spacing w:line="360" w:lineRule="auto"/>
        <w:jc w:val="center"/>
        <w:rPr>
          <w:rFonts w:ascii="宋体" w:hAnsi="宋体" w:eastAsia="宋体" w:cs="宋体"/>
          <w:b/>
          <w:bCs/>
          <w:color w:val="auto"/>
          <w:sz w:val="32"/>
          <w:szCs w:val="32"/>
        </w:rPr>
      </w:pPr>
      <w:r>
        <w:rPr>
          <w:rFonts w:hint="eastAsia" w:ascii="宋体" w:hAnsi="宋体" w:eastAsia="宋体" w:cs="宋体"/>
          <w:b/>
          <w:bCs/>
          <w:color w:val="auto"/>
          <w:sz w:val="32"/>
          <w:szCs w:val="32"/>
          <w:lang w:eastAsia="zh-CN"/>
        </w:rPr>
        <w:t>（一）</w:t>
      </w:r>
      <w:r>
        <w:rPr>
          <w:rFonts w:hint="eastAsia" w:ascii="宋体" w:hAnsi="宋体" w:eastAsia="宋体" w:cs="宋体"/>
          <w:b/>
          <w:bCs/>
          <w:color w:val="auto"/>
          <w:sz w:val="32"/>
          <w:szCs w:val="32"/>
        </w:rPr>
        <w:t>技术评审表</w:t>
      </w:r>
    </w:p>
    <w:tbl>
      <w:tblPr>
        <w:tblStyle w:val="15"/>
        <w:tblW w:w="55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134"/>
        <w:gridCol w:w="723"/>
        <w:gridCol w:w="7336"/>
      </w:tblGrid>
      <w:tr w14:paraId="3BC2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blHeader/>
          <w:jc w:val="center"/>
        </w:trPr>
        <w:tc>
          <w:tcPr>
            <w:tcW w:w="896" w:type="dxa"/>
            <w:vAlign w:val="center"/>
          </w:tcPr>
          <w:p w14:paraId="370E2668">
            <w:pPr>
              <w:spacing w:line="360" w:lineRule="auto"/>
              <w:jc w:val="center"/>
              <w:rPr>
                <w:rFonts w:ascii="宋体" w:hAnsi="宋体" w:eastAsia="宋体" w:cs="宋体"/>
                <w:b/>
                <w:bCs/>
                <w:color w:val="auto"/>
                <w:position w:val="8"/>
                <w:sz w:val="21"/>
                <w:szCs w:val="21"/>
              </w:rPr>
            </w:pPr>
            <w:r>
              <w:rPr>
                <w:rFonts w:hint="eastAsia" w:ascii="宋体" w:hAnsi="宋体" w:eastAsia="宋体" w:cs="宋体"/>
                <w:b/>
                <w:bCs/>
                <w:color w:val="auto"/>
                <w:position w:val="8"/>
                <w:sz w:val="21"/>
                <w:szCs w:val="21"/>
              </w:rPr>
              <w:t>序号</w:t>
            </w:r>
          </w:p>
        </w:tc>
        <w:tc>
          <w:tcPr>
            <w:tcW w:w="1135" w:type="dxa"/>
            <w:vAlign w:val="center"/>
          </w:tcPr>
          <w:p w14:paraId="4AE56B34">
            <w:pPr>
              <w:spacing w:line="360" w:lineRule="auto"/>
              <w:jc w:val="center"/>
              <w:rPr>
                <w:rFonts w:ascii="宋体" w:hAnsi="宋体" w:eastAsia="宋体" w:cs="宋体"/>
                <w:b/>
                <w:bCs/>
                <w:color w:val="auto"/>
                <w:position w:val="8"/>
                <w:sz w:val="21"/>
                <w:szCs w:val="21"/>
              </w:rPr>
            </w:pPr>
            <w:r>
              <w:rPr>
                <w:rFonts w:hint="eastAsia" w:ascii="宋体" w:hAnsi="宋体" w:eastAsia="宋体" w:cs="宋体"/>
                <w:b/>
                <w:bCs/>
                <w:color w:val="auto"/>
                <w:position w:val="8"/>
                <w:sz w:val="21"/>
                <w:szCs w:val="21"/>
              </w:rPr>
              <w:t>评审项</w:t>
            </w:r>
          </w:p>
        </w:tc>
        <w:tc>
          <w:tcPr>
            <w:tcW w:w="724" w:type="dxa"/>
            <w:vAlign w:val="center"/>
          </w:tcPr>
          <w:p w14:paraId="7C09AE80">
            <w:pPr>
              <w:spacing w:line="360" w:lineRule="auto"/>
              <w:jc w:val="center"/>
              <w:rPr>
                <w:rFonts w:ascii="宋体" w:hAnsi="宋体" w:eastAsia="宋体" w:cs="宋体"/>
                <w:b/>
                <w:bCs/>
                <w:color w:val="auto"/>
                <w:position w:val="8"/>
                <w:sz w:val="21"/>
                <w:szCs w:val="21"/>
              </w:rPr>
            </w:pPr>
            <w:r>
              <w:rPr>
                <w:rFonts w:hint="eastAsia" w:ascii="宋体" w:hAnsi="宋体" w:eastAsia="宋体" w:cs="宋体"/>
                <w:b/>
                <w:bCs/>
                <w:color w:val="auto"/>
                <w:position w:val="8"/>
                <w:sz w:val="21"/>
                <w:szCs w:val="21"/>
              </w:rPr>
              <w:t>分值</w:t>
            </w:r>
          </w:p>
        </w:tc>
        <w:tc>
          <w:tcPr>
            <w:tcW w:w="7345" w:type="dxa"/>
            <w:vAlign w:val="center"/>
          </w:tcPr>
          <w:p w14:paraId="1E68FD48">
            <w:pPr>
              <w:spacing w:line="360" w:lineRule="auto"/>
              <w:ind w:left="-18" w:leftChars="-195" w:hanging="411" w:hangingChars="195"/>
              <w:jc w:val="center"/>
              <w:rPr>
                <w:rFonts w:ascii="宋体" w:hAnsi="宋体" w:eastAsia="宋体" w:cs="宋体"/>
                <w:b/>
                <w:bCs/>
                <w:color w:val="auto"/>
                <w:position w:val="8"/>
                <w:sz w:val="21"/>
                <w:szCs w:val="21"/>
              </w:rPr>
            </w:pPr>
            <w:r>
              <w:rPr>
                <w:rFonts w:hint="eastAsia" w:ascii="宋体" w:hAnsi="宋体" w:eastAsia="宋体" w:cs="宋体"/>
                <w:b/>
                <w:bCs/>
                <w:color w:val="auto"/>
                <w:position w:val="8"/>
                <w:sz w:val="21"/>
                <w:szCs w:val="21"/>
              </w:rPr>
              <w:t>评审细则</w:t>
            </w:r>
          </w:p>
        </w:tc>
      </w:tr>
      <w:tr w14:paraId="0176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896" w:type="dxa"/>
            <w:vAlign w:val="center"/>
          </w:tcPr>
          <w:p w14:paraId="4AFC1C96">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color w:val="auto"/>
                <w:position w:val="8"/>
                <w:sz w:val="24"/>
                <w:szCs w:val="24"/>
              </w:rPr>
            </w:pPr>
            <w:r>
              <w:rPr>
                <w:rFonts w:hint="eastAsia" w:ascii="宋体" w:hAnsi="宋体" w:eastAsia="宋体" w:cs="宋体"/>
                <w:color w:val="auto"/>
                <w:position w:val="8"/>
                <w:sz w:val="24"/>
                <w:szCs w:val="24"/>
              </w:rPr>
              <w:t>1</w:t>
            </w:r>
          </w:p>
        </w:tc>
        <w:tc>
          <w:tcPr>
            <w:tcW w:w="1135" w:type="dxa"/>
            <w:vAlign w:val="center"/>
          </w:tcPr>
          <w:p w14:paraId="3D9B63B2">
            <w:pPr>
              <w:pStyle w:val="47"/>
              <w:keepNext w:val="0"/>
              <w:keepLines w:val="0"/>
              <w:pageBreakBefore w:val="0"/>
              <w:kinsoku/>
              <w:wordWrap/>
              <w:overflowPunct/>
              <w:topLinePunct w:val="0"/>
              <w:bidi w:val="0"/>
              <w:adjustRightInd/>
              <w:spacing w:line="360" w:lineRule="exact"/>
              <w:jc w:val="center"/>
              <w:textAlignment w:val="auto"/>
              <w:rPr>
                <w:rFonts w:ascii="宋体" w:hAnsi="宋体" w:cs="宋体"/>
                <w:color w:val="auto"/>
                <w:sz w:val="24"/>
              </w:rPr>
            </w:pPr>
            <w:bookmarkStart w:id="0" w:name="OLE_LINK4"/>
            <w:r>
              <w:rPr>
                <w:rFonts w:hint="eastAsia" w:cs="宋体" w:asciiTheme="majorEastAsia" w:hAnsiTheme="majorEastAsia" w:eastAsiaTheme="majorEastAsia"/>
                <w:color w:val="auto"/>
                <w:sz w:val="24"/>
              </w:rPr>
              <w:t>功能演示</w:t>
            </w:r>
            <w:bookmarkEnd w:id="0"/>
          </w:p>
        </w:tc>
        <w:tc>
          <w:tcPr>
            <w:tcW w:w="724" w:type="dxa"/>
            <w:vAlign w:val="center"/>
          </w:tcPr>
          <w:p w14:paraId="551D0761">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CN"/>
              </w:rPr>
            </w:pPr>
            <w:r>
              <w:rPr>
                <w:rFonts w:hint="eastAsia" w:cs="宋体" w:asciiTheme="majorEastAsia" w:hAnsiTheme="majorEastAsia" w:eastAsiaTheme="majorEastAsia"/>
                <w:color w:val="auto"/>
                <w:sz w:val="24"/>
                <w:szCs w:val="24"/>
                <w:lang w:eastAsia="zh-CN"/>
              </w:rPr>
              <w:t>10分</w:t>
            </w:r>
          </w:p>
        </w:tc>
        <w:tc>
          <w:tcPr>
            <w:tcW w:w="7345" w:type="dxa"/>
            <w:vAlign w:val="center"/>
          </w:tcPr>
          <w:p w14:paraId="3C300AE9">
            <w:pPr>
              <w:keepNext w:val="0"/>
              <w:keepLines w:val="0"/>
              <w:pageBreakBefore w:val="0"/>
              <w:widowControl/>
              <w:kinsoku/>
              <w:wordWrap/>
              <w:overflowPunct/>
              <w:topLinePunct w:val="0"/>
              <w:bidi w:val="0"/>
              <w:adjustRightInd/>
              <w:spacing w:line="360" w:lineRule="exact"/>
              <w:textAlignment w:val="auto"/>
              <w:rPr>
                <w:rFonts w:ascii="宋体" w:hAnsi="宋体" w:eastAsia="宋体" w:cs="仿宋"/>
                <w:color w:val="auto"/>
                <w:sz w:val="24"/>
                <w:szCs w:val="24"/>
                <w:highlight w:val="none"/>
                <w:lang w:val="zh-TW" w:eastAsia="zh-CN" w:bidi="ar-SA"/>
              </w:rPr>
            </w:pPr>
            <w:bookmarkStart w:id="1" w:name="_Hlk209088127"/>
            <w:r>
              <w:rPr>
                <w:rFonts w:hint="eastAsia" w:ascii="宋体" w:hAnsi="宋体" w:eastAsia="宋体" w:cs="仿宋"/>
                <w:color w:val="auto"/>
                <w:sz w:val="24"/>
                <w:szCs w:val="24"/>
                <w:highlight w:val="none"/>
                <w:lang w:val="zh-TW" w:eastAsia="zh-CN" w:bidi="ar-SA"/>
              </w:rPr>
              <w:t>一、演示要求</w:t>
            </w:r>
          </w:p>
          <w:p w14:paraId="1A1F4FA2">
            <w:pPr>
              <w:keepNext w:val="0"/>
              <w:keepLines w:val="0"/>
              <w:pageBreakBefore w:val="0"/>
              <w:widowControl/>
              <w:kinsoku/>
              <w:wordWrap/>
              <w:overflowPunct/>
              <w:topLinePunct w:val="0"/>
              <w:bidi w:val="0"/>
              <w:adjustRightInd/>
              <w:spacing w:line="360" w:lineRule="exact"/>
              <w:textAlignment w:val="auto"/>
              <w:rPr>
                <w:rFonts w:ascii="宋体" w:hAnsi="宋体" w:eastAsia="宋体" w:cs="仿宋"/>
                <w:color w:val="auto"/>
                <w:sz w:val="24"/>
                <w:szCs w:val="24"/>
                <w:highlight w:val="none"/>
                <w:lang w:val="zh-TW" w:eastAsia="zh-CN" w:bidi="ar-SA"/>
              </w:rPr>
            </w:pPr>
            <w:r>
              <w:rPr>
                <w:rFonts w:hint="eastAsia" w:ascii="宋体" w:hAnsi="宋体" w:eastAsia="宋体" w:cs="仿宋"/>
                <w:color w:val="auto"/>
                <w:sz w:val="24"/>
                <w:szCs w:val="24"/>
                <w:highlight w:val="none"/>
                <w:lang w:val="zh-TW" w:eastAsia="zh-CN" w:bidi="ar-SA"/>
              </w:rPr>
              <w:t>1.竞标时，对如下内容进行演示，评委根据演示内容与要求的匹配性进行打分，本项最高得</w:t>
            </w:r>
            <w:r>
              <w:rPr>
                <w:rFonts w:ascii="宋体" w:hAnsi="宋体" w:eastAsia="宋体" w:cs="仿宋"/>
                <w:color w:val="auto"/>
                <w:sz w:val="24"/>
                <w:szCs w:val="24"/>
                <w:highlight w:val="none"/>
                <w:lang w:val="zh-TW" w:eastAsia="zh-CN" w:bidi="ar-SA"/>
              </w:rPr>
              <w:t>10</w:t>
            </w:r>
            <w:r>
              <w:rPr>
                <w:rFonts w:hint="eastAsia" w:ascii="宋体" w:hAnsi="宋体" w:eastAsia="宋体" w:cs="仿宋"/>
                <w:color w:val="auto"/>
                <w:sz w:val="24"/>
                <w:szCs w:val="24"/>
                <w:highlight w:val="none"/>
                <w:lang w:val="zh-TW" w:eastAsia="zh-CN" w:bidi="ar-SA"/>
              </w:rPr>
              <w:t>分。</w:t>
            </w:r>
          </w:p>
          <w:p w14:paraId="3E3EBC2A">
            <w:pPr>
              <w:keepNext w:val="0"/>
              <w:keepLines w:val="0"/>
              <w:pageBreakBefore w:val="0"/>
              <w:widowControl/>
              <w:kinsoku/>
              <w:wordWrap/>
              <w:overflowPunct/>
              <w:topLinePunct w:val="0"/>
              <w:bidi w:val="0"/>
              <w:adjustRightInd/>
              <w:spacing w:line="360" w:lineRule="exact"/>
              <w:textAlignment w:val="auto"/>
              <w:rPr>
                <w:rFonts w:ascii="宋体" w:hAnsi="宋体" w:eastAsia="宋体" w:cs="仿宋"/>
                <w:color w:val="auto"/>
                <w:sz w:val="24"/>
                <w:szCs w:val="24"/>
                <w:highlight w:val="none"/>
                <w:lang w:val="zh-TW" w:eastAsia="zh-CN" w:bidi="ar-SA"/>
              </w:rPr>
            </w:pPr>
            <w:r>
              <w:rPr>
                <w:rFonts w:hint="eastAsia" w:ascii="宋体" w:hAnsi="宋体" w:eastAsia="宋体" w:cs="仿宋"/>
                <w:color w:val="auto"/>
                <w:sz w:val="24"/>
                <w:szCs w:val="24"/>
                <w:highlight w:val="none"/>
                <w:lang w:val="zh-TW" w:eastAsia="zh-CN" w:bidi="ar-SA"/>
              </w:rPr>
              <w:t>2.演示所用到的软硬件设备由投标人自理，每家投标人演示时间不超过15分钟。（本项演示资料以视频、图片、文档形式将资料</w:t>
            </w:r>
            <w:bookmarkStart w:id="3" w:name="_GoBack"/>
            <w:r>
              <w:rPr>
                <w:rFonts w:hint="eastAsia" w:ascii="宋体" w:hAnsi="宋体" w:eastAsia="宋体" w:cs="仿宋"/>
                <w:color w:val="auto"/>
                <w:sz w:val="24"/>
                <w:szCs w:val="24"/>
                <w:highlight w:val="none"/>
                <w:lang w:val="zh-TW" w:eastAsia="zh-CN" w:bidi="ar-SA"/>
              </w:rPr>
              <w:t>发送至</w:t>
            </w:r>
            <w:bookmarkEnd w:id="3"/>
            <w:r>
              <w:rPr>
                <w:rFonts w:hint="eastAsia" w:ascii="宋体" w:hAnsi="宋体" w:eastAsia="宋体" w:cs="仿宋"/>
                <w:color w:val="auto"/>
                <w:sz w:val="24"/>
                <w:szCs w:val="24"/>
                <w:highlight w:val="none"/>
                <w:lang w:val="zh-TW" w:eastAsia="zh-CN" w:bidi="ar-SA"/>
              </w:rPr>
              <w:t>指定邮箱）</w:t>
            </w:r>
          </w:p>
          <w:bookmarkEnd w:id="1"/>
          <w:p w14:paraId="07C56796">
            <w:pPr>
              <w:keepNext w:val="0"/>
              <w:keepLines w:val="0"/>
              <w:pageBreakBefore w:val="0"/>
              <w:widowControl/>
              <w:kinsoku/>
              <w:wordWrap/>
              <w:overflowPunct/>
              <w:topLinePunct w:val="0"/>
              <w:bidi w:val="0"/>
              <w:adjustRightInd/>
              <w:spacing w:line="360" w:lineRule="exact"/>
              <w:textAlignment w:val="auto"/>
              <w:rPr>
                <w:rFonts w:ascii="宋体" w:hAnsi="宋体" w:eastAsia="宋体" w:cs="仿宋"/>
                <w:color w:val="auto"/>
                <w:sz w:val="24"/>
                <w:szCs w:val="24"/>
                <w:highlight w:val="none"/>
                <w:lang w:val="zh-TW" w:eastAsia="zh-CN" w:bidi="ar-SA"/>
              </w:rPr>
            </w:pPr>
            <w:r>
              <w:rPr>
                <w:rFonts w:hint="eastAsia" w:ascii="宋体" w:hAnsi="宋体" w:eastAsia="宋体" w:cs="仿宋"/>
                <w:color w:val="auto"/>
                <w:sz w:val="24"/>
                <w:szCs w:val="24"/>
                <w:highlight w:val="none"/>
                <w:lang w:val="zh-TW" w:eastAsia="zh-CN" w:bidi="ar-SA"/>
              </w:rPr>
              <w:t>按要求把相关材料及视频发邮箱</w:t>
            </w:r>
          </w:p>
          <w:p w14:paraId="3B238E2E">
            <w:pPr>
              <w:keepNext w:val="0"/>
              <w:keepLines w:val="0"/>
              <w:pageBreakBefore w:val="0"/>
              <w:widowControl/>
              <w:kinsoku/>
              <w:wordWrap/>
              <w:overflowPunct/>
              <w:topLinePunct w:val="0"/>
              <w:bidi w:val="0"/>
              <w:adjustRightInd/>
              <w:spacing w:line="360" w:lineRule="exact"/>
              <w:textAlignment w:val="auto"/>
              <w:rPr>
                <w:rFonts w:ascii="宋体" w:hAnsi="宋体" w:eastAsia="宋体" w:cs="仿宋"/>
                <w:color w:val="auto"/>
                <w:sz w:val="24"/>
                <w:szCs w:val="24"/>
                <w:highlight w:val="none"/>
                <w:lang w:val="zh-TW" w:eastAsia="zh-CN" w:bidi="ar-SA"/>
              </w:rPr>
            </w:pPr>
            <w:r>
              <w:rPr>
                <w:rFonts w:hint="eastAsia" w:ascii="宋体" w:hAnsi="宋体" w:eastAsia="宋体" w:cs="仿宋"/>
                <w:color w:val="auto"/>
                <w:sz w:val="24"/>
                <w:szCs w:val="24"/>
                <w:highlight w:val="none"/>
                <w:lang w:val="zh-TW" w:eastAsia="zh-CN" w:bidi="ar-SA"/>
              </w:rPr>
              <w:t>二、演示内容</w:t>
            </w:r>
          </w:p>
          <w:p w14:paraId="47E08629">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CN"/>
              </w:rPr>
              <w:t>1.</w:t>
            </w:r>
            <w:r>
              <w:rPr>
                <w:rFonts w:hint="eastAsia" w:ascii="宋体" w:hAnsi="宋体" w:eastAsia="宋体"/>
                <w:color w:val="auto"/>
                <w:sz w:val="24"/>
                <w:szCs w:val="24"/>
                <w:highlight w:val="none"/>
                <w:lang w:val="zh-TW" w:eastAsia="zh-CN"/>
              </w:rPr>
              <w:t>机电相关高质量视频提供（</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分）</w:t>
            </w:r>
          </w:p>
          <w:p w14:paraId="0B87BD25">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CN"/>
              </w:rPr>
              <w:t>（1）</w:t>
            </w:r>
            <w:r>
              <w:rPr>
                <w:rFonts w:ascii="宋体" w:hAnsi="宋体" w:eastAsia="宋体"/>
                <w:color w:val="auto"/>
                <w:sz w:val="24"/>
                <w:szCs w:val="24"/>
                <w:highlight w:val="none"/>
                <w:lang w:val="zh-TW" w:eastAsia="zh-CN"/>
              </w:rPr>
              <w:t>需提交</w:t>
            </w:r>
            <w:r>
              <w:rPr>
                <w:rFonts w:ascii="宋体" w:hAnsi="宋体" w:eastAsia="PMingLiU"/>
                <w:color w:val="auto"/>
                <w:sz w:val="24"/>
                <w:szCs w:val="24"/>
                <w:highlight w:val="none"/>
                <w:lang w:val="zh-TW" w:eastAsia="zh-TW"/>
              </w:rPr>
              <w:t>3</w:t>
            </w:r>
            <w:r>
              <w:rPr>
                <w:rFonts w:ascii="宋体" w:hAnsi="宋体" w:eastAsia="宋体"/>
                <w:color w:val="auto"/>
                <w:sz w:val="24"/>
                <w:szCs w:val="24"/>
                <w:highlight w:val="none"/>
                <w:lang w:val="zh-TW" w:eastAsia="zh-CN"/>
              </w:rPr>
              <w:t>个机电相关高质量视频，分别为实操视频、理论视频，每个视频时长不少于3分钟。</w:t>
            </w:r>
          </w:p>
          <w:p w14:paraId="716FFDA5">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CN"/>
              </w:rPr>
              <w:t>（2）</w:t>
            </w:r>
            <w:r>
              <w:rPr>
                <w:rFonts w:ascii="宋体" w:hAnsi="宋体" w:eastAsia="宋体"/>
                <w:color w:val="auto"/>
                <w:sz w:val="24"/>
                <w:szCs w:val="24"/>
                <w:highlight w:val="none"/>
                <w:lang w:val="zh-TW" w:eastAsia="zh-CN"/>
              </w:rPr>
              <w:t>评分维度（共5个方面，每项1分，总分5分）：</w:t>
            </w:r>
            <w:r>
              <w:rPr>
                <w:rFonts w:hint="eastAsia" w:ascii="MS Gothic" w:hAnsi="MS Gothic" w:eastAsia="MS Gothic" w:cs="MS Gothic"/>
                <w:color w:val="auto"/>
                <w:sz w:val="24"/>
                <w:szCs w:val="24"/>
                <w:highlight w:val="none"/>
                <w:lang w:val="zh-TW" w:eastAsia="zh-CN"/>
              </w:rPr>
              <w:t>​</w:t>
            </w:r>
          </w:p>
          <w:p w14:paraId="70628E89">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内容设计：贴合机电专业核心知识点/实操技能，逻辑清晰，重点突出，无知识点错误；</w:t>
            </w:r>
            <w:r>
              <w:rPr>
                <w:rFonts w:hint="eastAsia" w:ascii="MS Gothic" w:hAnsi="MS Gothic" w:eastAsia="MS Gothic" w:cs="MS Gothic"/>
                <w:color w:val="auto"/>
                <w:sz w:val="24"/>
                <w:szCs w:val="24"/>
                <w:highlight w:val="none"/>
                <w:lang w:val="zh-TW" w:eastAsia="zh-CN"/>
              </w:rPr>
              <w:t>​</w:t>
            </w:r>
          </w:p>
          <w:p w14:paraId="100317AE">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课程版式：画面布局合理，字幕清晰，片头片尾规范；</w:t>
            </w:r>
          </w:p>
          <w:p w14:paraId="61B03611">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课程效果：能有效辅助学习者理解知识/掌握技能；</w:t>
            </w:r>
          </w:p>
          <w:p w14:paraId="40170B6F">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画面质量：画面清晰（分辨率不低于720P），色彩正常，无抖动、卡顿，实操场景光线充足；</w:t>
            </w:r>
            <w:r>
              <w:rPr>
                <w:rFonts w:hint="eastAsia" w:ascii="MS Gothic" w:hAnsi="MS Gothic" w:eastAsia="MS Gothic" w:cs="MS Gothic"/>
                <w:color w:val="auto"/>
                <w:sz w:val="24"/>
                <w:szCs w:val="24"/>
                <w:highlight w:val="none"/>
                <w:lang w:val="zh-TW" w:eastAsia="zh-CN"/>
              </w:rPr>
              <w:t>​</w:t>
            </w:r>
          </w:p>
          <w:p w14:paraId="4F1E7252">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音频质量：声音清晰无杂音、无失真，语速适中，配音标准，重要操作/知识点有语音强调。</w:t>
            </w:r>
          </w:p>
          <w:p w14:paraId="5E149B30">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CN"/>
              </w:rPr>
              <w:t>（3）评分标准：</w:t>
            </w:r>
            <w:r>
              <w:rPr>
                <w:rFonts w:ascii="宋体" w:hAnsi="宋体" w:eastAsia="宋体"/>
                <w:color w:val="auto"/>
                <w:sz w:val="24"/>
                <w:szCs w:val="24"/>
                <w:highlight w:val="none"/>
                <w:lang w:val="zh-TW" w:eastAsia="zh-CN"/>
              </w:rPr>
              <w:t>2</w:t>
            </w:r>
            <w:r>
              <w:rPr>
                <w:rFonts w:hint="eastAsia" w:ascii="宋体" w:hAnsi="宋体" w:eastAsia="宋体"/>
                <w:color w:val="auto"/>
                <w:sz w:val="24"/>
                <w:szCs w:val="24"/>
                <w:highlight w:val="none"/>
                <w:lang w:val="zh-TW" w:eastAsia="zh-CN"/>
              </w:rPr>
              <w:t>个视频均符合要求，且</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个维度评分均达标的得</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分；任意</w:t>
            </w:r>
            <w:r>
              <w:rPr>
                <w:rFonts w:ascii="宋体" w:hAnsi="宋体" w:eastAsia="宋体"/>
                <w:color w:val="auto"/>
                <w:sz w:val="24"/>
                <w:szCs w:val="24"/>
                <w:highlight w:val="none"/>
                <w:lang w:val="zh-TW" w:eastAsia="zh-CN"/>
              </w:rPr>
              <w:t>1</w:t>
            </w:r>
            <w:r>
              <w:rPr>
                <w:rFonts w:hint="eastAsia" w:ascii="宋体" w:hAnsi="宋体" w:eastAsia="宋体"/>
                <w:color w:val="auto"/>
                <w:sz w:val="24"/>
                <w:szCs w:val="24"/>
                <w:highlight w:val="none"/>
                <w:lang w:val="zh-TW" w:eastAsia="zh-CN"/>
              </w:rPr>
              <w:t>个视频不符合要求（如缺实操</w:t>
            </w:r>
            <w:r>
              <w:rPr>
                <w:rFonts w:ascii="宋体" w:hAnsi="宋体" w:eastAsia="宋体"/>
                <w:color w:val="auto"/>
                <w:sz w:val="24"/>
                <w:szCs w:val="24"/>
                <w:highlight w:val="none"/>
                <w:lang w:val="zh-TW" w:eastAsia="zh-CN"/>
              </w:rPr>
              <w:t>/</w:t>
            </w:r>
            <w:r>
              <w:rPr>
                <w:rFonts w:hint="eastAsia" w:ascii="宋体" w:hAnsi="宋体" w:eastAsia="宋体"/>
                <w:color w:val="auto"/>
                <w:sz w:val="24"/>
                <w:szCs w:val="24"/>
                <w:highlight w:val="none"/>
                <w:lang w:val="zh-TW" w:eastAsia="zh-CN"/>
              </w:rPr>
              <w:t>理论类别、某维度严重不达标）的不得分。</w:t>
            </w:r>
          </w:p>
          <w:p w14:paraId="579273C0">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CN"/>
              </w:rPr>
              <w:t>2.</w:t>
            </w:r>
            <w:r>
              <w:rPr>
                <w:rFonts w:hint="eastAsia" w:ascii="宋体" w:hAnsi="宋体" w:eastAsia="宋体"/>
                <w:color w:val="auto"/>
                <w:sz w:val="24"/>
                <w:szCs w:val="24"/>
                <w:highlight w:val="none"/>
                <w:lang w:val="zh-TW" w:eastAsia="zh-CN"/>
              </w:rPr>
              <w:t>机电相关高质量动画提供（</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分）</w:t>
            </w:r>
          </w:p>
          <w:p w14:paraId="286F7B7F">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TW"/>
              </w:rPr>
              <w:t>（</w:t>
            </w:r>
            <w:r>
              <w:rPr>
                <w:rFonts w:hint="eastAsia" w:ascii="宋体" w:hAnsi="宋体" w:eastAsia="宋体"/>
                <w:color w:val="auto"/>
                <w:sz w:val="24"/>
                <w:szCs w:val="24"/>
                <w:highlight w:val="none"/>
                <w:lang w:val="zh-TW" w:eastAsia="zh-CN"/>
              </w:rPr>
              <w:t>1</w:t>
            </w:r>
            <w:r>
              <w:rPr>
                <w:rFonts w:hint="eastAsia" w:ascii="宋体" w:hAnsi="宋体" w:eastAsia="宋体"/>
                <w:color w:val="auto"/>
                <w:sz w:val="24"/>
                <w:szCs w:val="24"/>
                <w:highlight w:val="none"/>
                <w:lang w:val="zh-TW" w:eastAsia="zh-TW"/>
              </w:rPr>
              <w:t>）</w:t>
            </w:r>
            <w:r>
              <w:rPr>
                <w:rFonts w:ascii="宋体" w:hAnsi="宋体" w:eastAsia="宋体"/>
                <w:color w:val="auto"/>
                <w:sz w:val="24"/>
                <w:szCs w:val="24"/>
                <w:highlight w:val="none"/>
                <w:lang w:val="zh-TW" w:eastAsia="zh-CN"/>
              </w:rPr>
              <w:t>需提交</w:t>
            </w:r>
            <w:r>
              <w:rPr>
                <w:rFonts w:ascii="宋体" w:hAnsi="宋体" w:eastAsia="PMingLiU"/>
                <w:color w:val="auto"/>
                <w:sz w:val="24"/>
                <w:szCs w:val="24"/>
                <w:highlight w:val="none"/>
                <w:lang w:val="zh-TW" w:eastAsia="zh-TW"/>
              </w:rPr>
              <w:t>3</w:t>
            </w:r>
            <w:r>
              <w:rPr>
                <w:rFonts w:ascii="宋体" w:hAnsi="宋体" w:eastAsia="宋体"/>
                <w:color w:val="auto"/>
                <w:sz w:val="24"/>
                <w:szCs w:val="24"/>
                <w:highlight w:val="none"/>
                <w:lang w:val="zh-TW" w:eastAsia="zh-CN"/>
              </w:rPr>
              <w:t>个机电相关高质量动画，分别为交互动画（热键响应式）、演示动画，演示动画时长不少于30秒。</w:t>
            </w:r>
          </w:p>
          <w:p w14:paraId="57E17C72">
            <w:pPr>
              <w:pStyle w:val="10"/>
              <w:keepNext w:val="0"/>
              <w:keepLines w:val="0"/>
              <w:pageBreakBefore w:val="0"/>
              <w:kinsoku/>
              <w:wordWrap/>
              <w:overflowPunct/>
              <w:topLinePunct w:val="0"/>
              <w:bidi w:val="0"/>
              <w:adjustRightInd/>
              <w:spacing w:line="360" w:lineRule="exact"/>
              <w:textAlignment w:val="auto"/>
              <w:rPr>
                <w:rFonts w:ascii="宋体" w:hAnsi="宋体" w:eastAsia="宋体"/>
                <w:color w:val="auto"/>
                <w:sz w:val="24"/>
                <w:szCs w:val="24"/>
                <w:highlight w:val="none"/>
                <w:lang w:val="zh-TW" w:eastAsia="zh-CN"/>
              </w:rPr>
            </w:pPr>
            <w:r>
              <w:rPr>
                <w:rFonts w:hint="eastAsia" w:ascii="宋体" w:hAnsi="宋体" w:eastAsia="宋体"/>
                <w:color w:val="auto"/>
                <w:sz w:val="24"/>
                <w:szCs w:val="24"/>
                <w:highlight w:val="none"/>
                <w:lang w:val="zh-TW" w:eastAsia="zh-TW"/>
              </w:rPr>
              <w:t>（</w:t>
            </w:r>
            <w:r>
              <w:rPr>
                <w:rFonts w:hint="eastAsia" w:ascii="宋体" w:hAnsi="宋体" w:eastAsia="宋体"/>
                <w:color w:val="auto"/>
                <w:sz w:val="24"/>
                <w:szCs w:val="24"/>
                <w:highlight w:val="none"/>
                <w:lang w:val="zh-TW" w:eastAsia="zh-CN"/>
              </w:rPr>
              <w:t>2</w:t>
            </w:r>
            <w:r>
              <w:rPr>
                <w:rFonts w:hint="eastAsia" w:ascii="宋体" w:hAnsi="宋体" w:eastAsia="宋体"/>
                <w:color w:val="auto"/>
                <w:sz w:val="24"/>
                <w:szCs w:val="24"/>
                <w:highlight w:val="none"/>
                <w:lang w:val="zh-TW" w:eastAsia="zh-TW"/>
              </w:rPr>
              <w:t>）</w:t>
            </w:r>
            <w:r>
              <w:rPr>
                <w:rFonts w:ascii="宋体" w:hAnsi="宋体" w:eastAsia="宋体"/>
                <w:color w:val="auto"/>
                <w:sz w:val="24"/>
                <w:szCs w:val="24"/>
                <w:highlight w:val="none"/>
                <w:lang w:val="zh-TW" w:eastAsia="zh-CN"/>
              </w:rPr>
              <w:t>评分维度（共5个方面，每项1分，总分5分）：</w:t>
            </w:r>
            <w:r>
              <w:rPr>
                <w:rFonts w:hint="eastAsia" w:ascii="MS Gothic" w:hAnsi="MS Gothic" w:eastAsia="MS Gothic" w:cs="MS Gothic"/>
                <w:color w:val="auto"/>
                <w:sz w:val="24"/>
                <w:szCs w:val="24"/>
                <w:highlight w:val="none"/>
                <w:lang w:val="zh-TW" w:eastAsia="zh-CN"/>
              </w:rPr>
              <w:t>​</w:t>
            </w:r>
          </w:p>
          <w:p w14:paraId="006FFBEF">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内容设计：贴合机电专业重难点，内容准确，能直观呈现抽象知识/复杂流程；</w:t>
            </w:r>
          </w:p>
          <w:p w14:paraId="63209D1F">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课程版式：界面简洁友好，元素布局合理，色彩搭配适配内容，无多余干扰元素；</w:t>
            </w:r>
            <w:r>
              <w:rPr>
                <w:rFonts w:hint="eastAsia" w:ascii="MS Gothic" w:hAnsi="MS Gothic" w:eastAsia="MS Gothic" w:cs="MS Gothic"/>
                <w:color w:val="auto"/>
                <w:sz w:val="24"/>
                <w:szCs w:val="24"/>
                <w:highlight w:val="none"/>
                <w:lang w:val="zh-TW" w:eastAsia="zh-CN"/>
              </w:rPr>
              <w:t>​</w:t>
            </w:r>
          </w:p>
          <w:p w14:paraId="753888EC">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课程效果：能帮助学习者快速理解核心内容；</w:t>
            </w:r>
            <w:r>
              <w:rPr>
                <w:rFonts w:hint="eastAsia" w:ascii="MS Gothic" w:hAnsi="MS Gothic" w:eastAsia="MS Gothic" w:cs="MS Gothic"/>
                <w:color w:val="auto"/>
                <w:sz w:val="24"/>
                <w:szCs w:val="24"/>
                <w:highlight w:val="none"/>
                <w:lang w:val="zh-TW" w:eastAsia="zh-CN"/>
              </w:rPr>
              <w:t>​</w:t>
            </w:r>
          </w:p>
          <w:p w14:paraId="14E9C929">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交互体验（交互动画）/流畅度（演示动画）：交互动画响应及时，操作逻辑清晰，演示动画播放流畅，无卡顿、画面断层；</w:t>
            </w:r>
            <w:r>
              <w:rPr>
                <w:rFonts w:hint="eastAsia" w:ascii="MS Gothic" w:hAnsi="MS Gothic" w:eastAsia="MS Gothic" w:cs="MS Gothic"/>
                <w:color w:val="auto"/>
                <w:sz w:val="24"/>
                <w:szCs w:val="24"/>
                <w:highlight w:val="none"/>
                <w:lang w:val="zh-TW" w:eastAsia="zh-CN"/>
              </w:rPr>
              <w:t>​</w:t>
            </w:r>
          </w:p>
          <w:p w14:paraId="67D6F472">
            <w:pPr>
              <w:pStyle w:val="10"/>
              <w:keepNext w:val="0"/>
              <w:keepLines w:val="0"/>
              <w:pageBreakBefore w:val="0"/>
              <w:kinsoku/>
              <w:wordWrap/>
              <w:overflowPunct/>
              <w:topLinePunct w:val="0"/>
              <w:bidi w:val="0"/>
              <w:adjustRightInd/>
              <w:spacing w:line="360" w:lineRule="exact"/>
              <w:ind w:left="440"/>
              <w:textAlignment w:val="auto"/>
              <w:rPr>
                <w:rFonts w:ascii="宋体" w:hAnsi="宋体" w:eastAsia="宋体"/>
                <w:color w:val="auto"/>
                <w:sz w:val="24"/>
                <w:szCs w:val="24"/>
                <w:highlight w:val="none"/>
                <w:lang w:val="zh-TW" w:eastAsia="zh-CN"/>
              </w:rPr>
            </w:pPr>
            <w:r>
              <w:rPr>
                <w:rFonts w:ascii="宋体" w:hAnsi="宋体" w:eastAsia="宋体"/>
                <w:color w:val="auto"/>
                <w:sz w:val="24"/>
                <w:szCs w:val="24"/>
                <w:highlight w:val="none"/>
                <w:lang w:val="zh-TW" w:eastAsia="zh-CN"/>
              </w:rPr>
              <w:t>技术适配：动画格式兼容主流设备SWF、MP4，无需额外安装复杂插件即可运行，画面尺寸适配常见屏幕</w:t>
            </w:r>
          </w:p>
          <w:p w14:paraId="75D91CF4">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Cs w:val="21"/>
                <w:lang w:eastAsia="zh-CN"/>
              </w:rPr>
            </w:pPr>
            <w:r>
              <w:rPr>
                <w:rFonts w:hint="eastAsia" w:ascii="宋体" w:hAnsi="宋体" w:eastAsia="宋体"/>
                <w:color w:val="auto"/>
                <w:sz w:val="24"/>
                <w:szCs w:val="24"/>
                <w:highlight w:val="none"/>
                <w:lang w:val="zh-TW" w:eastAsia="zh-TW"/>
              </w:rPr>
              <w:t>（</w:t>
            </w:r>
            <w:r>
              <w:rPr>
                <w:rFonts w:hint="eastAsia" w:ascii="宋体" w:hAnsi="宋体" w:eastAsia="宋体"/>
                <w:color w:val="auto"/>
                <w:sz w:val="24"/>
                <w:szCs w:val="24"/>
                <w:highlight w:val="none"/>
                <w:lang w:val="zh-TW" w:eastAsia="zh-CN"/>
              </w:rPr>
              <w:t>3</w:t>
            </w:r>
            <w:r>
              <w:rPr>
                <w:rFonts w:hint="eastAsia" w:ascii="宋体" w:hAnsi="宋体" w:eastAsia="宋体"/>
                <w:color w:val="auto"/>
                <w:sz w:val="24"/>
                <w:szCs w:val="24"/>
                <w:highlight w:val="none"/>
                <w:lang w:val="zh-TW" w:eastAsia="zh-TW"/>
              </w:rPr>
              <w:t>）</w:t>
            </w:r>
            <w:r>
              <w:rPr>
                <w:rFonts w:hint="eastAsia" w:ascii="宋体" w:hAnsi="宋体" w:eastAsia="宋体"/>
                <w:color w:val="auto"/>
                <w:sz w:val="24"/>
                <w:szCs w:val="24"/>
                <w:highlight w:val="none"/>
                <w:lang w:val="zh-TW" w:eastAsia="zh-CN"/>
              </w:rPr>
              <w:t>评分标准：</w:t>
            </w:r>
            <w:r>
              <w:rPr>
                <w:rFonts w:ascii="宋体" w:hAnsi="宋体" w:eastAsia="宋体"/>
                <w:color w:val="auto"/>
                <w:sz w:val="24"/>
                <w:szCs w:val="24"/>
                <w:highlight w:val="none"/>
                <w:lang w:val="zh-TW" w:eastAsia="zh-CN"/>
              </w:rPr>
              <w:t>2</w:t>
            </w:r>
            <w:r>
              <w:rPr>
                <w:rFonts w:hint="eastAsia" w:ascii="宋体" w:hAnsi="宋体" w:eastAsia="宋体"/>
                <w:color w:val="auto"/>
                <w:sz w:val="24"/>
                <w:szCs w:val="24"/>
                <w:highlight w:val="none"/>
                <w:lang w:val="zh-TW" w:eastAsia="zh-CN"/>
              </w:rPr>
              <w:t>个动画均符合要求，且</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个维度评分均达标的得</w:t>
            </w:r>
            <w:r>
              <w:rPr>
                <w:rFonts w:ascii="宋体" w:hAnsi="宋体" w:eastAsia="宋体"/>
                <w:color w:val="auto"/>
                <w:sz w:val="24"/>
                <w:szCs w:val="24"/>
                <w:highlight w:val="none"/>
                <w:lang w:val="zh-TW" w:eastAsia="zh-CN"/>
              </w:rPr>
              <w:t>5</w:t>
            </w:r>
            <w:r>
              <w:rPr>
                <w:rFonts w:hint="eastAsia" w:ascii="宋体" w:hAnsi="宋体" w:eastAsia="宋体"/>
                <w:color w:val="auto"/>
                <w:sz w:val="24"/>
                <w:szCs w:val="24"/>
                <w:highlight w:val="none"/>
                <w:lang w:val="zh-TW" w:eastAsia="zh-CN"/>
              </w:rPr>
              <w:t>分；任意</w:t>
            </w:r>
            <w:r>
              <w:rPr>
                <w:rFonts w:ascii="宋体" w:hAnsi="宋体" w:eastAsia="宋体"/>
                <w:color w:val="auto"/>
                <w:sz w:val="24"/>
                <w:szCs w:val="24"/>
                <w:highlight w:val="none"/>
                <w:lang w:val="zh-TW" w:eastAsia="zh-CN"/>
              </w:rPr>
              <w:t>1</w:t>
            </w:r>
            <w:r>
              <w:rPr>
                <w:rFonts w:hint="eastAsia" w:ascii="宋体" w:hAnsi="宋体" w:eastAsia="宋体"/>
                <w:color w:val="auto"/>
                <w:sz w:val="24"/>
                <w:szCs w:val="24"/>
                <w:highlight w:val="none"/>
                <w:lang w:val="zh-TW" w:eastAsia="zh-CN"/>
              </w:rPr>
              <w:t>个动画不符合要求（如缺交互</w:t>
            </w:r>
            <w:r>
              <w:rPr>
                <w:rFonts w:ascii="宋体" w:hAnsi="宋体" w:eastAsia="宋体"/>
                <w:color w:val="auto"/>
                <w:sz w:val="24"/>
                <w:szCs w:val="24"/>
                <w:highlight w:val="none"/>
                <w:lang w:val="zh-TW" w:eastAsia="zh-CN"/>
              </w:rPr>
              <w:t>/</w:t>
            </w:r>
            <w:r>
              <w:rPr>
                <w:rFonts w:hint="eastAsia" w:ascii="宋体" w:hAnsi="宋体" w:eastAsia="宋体"/>
                <w:color w:val="auto"/>
                <w:sz w:val="24"/>
                <w:szCs w:val="24"/>
                <w:highlight w:val="none"/>
                <w:lang w:val="zh-TW" w:eastAsia="zh-CN"/>
              </w:rPr>
              <w:t>演示类别、交互功能失效）的不得分。</w:t>
            </w:r>
          </w:p>
        </w:tc>
      </w:tr>
      <w:tr w14:paraId="0B1C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896" w:type="dxa"/>
            <w:vAlign w:val="center"/>
          </w:tcPr>
          <w:p w14:paraId="5D00A0EA">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color w:val="auto"/>
                <w:position w:val="8"/>
                <w:sz w:val="24"/>
                <w:szCs w:val="24"/>
              </w:rPr>
            </w:pPr>
            <w:r>
              <w:rPr>
                <w:rFonts w:hint="eastAsia" w:ascii="宋体" w:hAnsi="宋体" w:eastAsia="宋体" w:cs="宋体"/>
                <w:color w:val="auto"/>
                <w:position w:val="8"/>
                <w:sz w:val="24"/>
                <w:szCs w:val="24"/>
              </w:rPr>
              <w:t>2</w:t>
            </w:r>
          </w:p>
        </w:tc>
        <w:tc>
          <w:tcPr>
            <w:tcW w:w="1135" w:type="dxa"/>
            <w:vAlign w:val="center"/>
          </w:tcPr>
          <w:p w14:paraId="46CCCA46">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TW"/>
              </w:rPr>
            </w:pPr>
            <w:r>
              <w:rPr>
                <w:rFonts w:hint="eastAsia" w:asciiTheme="majorEastAsia" w:hAnsiTheme="majorEastAsia" w:eastAsiaTheme="majorEastAsia"/>
                <w:color w:val="auto"/>
                <w:sz w:val="24"/>
                <w:szCs w:val="24"/>
              </w:rPr>
              <w:t>技术要求</w:t>
            </w:r>
          </w:p>
        </w:tc>
        <w:tc>
          <w:tcPr>
            <w:tcW w:w="724" w:type="dxa"/>
            <w:vAlign w:val="center"/>
          </w:tcPr>
          <w:p w14:paraId="1F3F5326">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CN"/>
              </w:rPr>
            </w:pPr>
            <w:r>
              <w:rPr>
                <w:rFonts w:asciiTheme="majorEastAsia" w:hAnsiTheme="majorEastAsia" w:eastAsiaTheme="majorEastAsia"/>
                <w:color w:val="auto"/>
                <w:sz w:val="24"/>
                <w:szCs w:val="24"/>
              </w:rPr>
              <w:t>15</w:t>
            </w:r>
            <w:r>
              <w:rPr>
                <w:rFonts w:hint="eastAsia" w:asciiTheme="majorEastAsia" w:hAnsiTheme="majorEastAsia" w:eastAsiaTheme="majorEastAsia"/>
                <w:color w:val="auto"/>
                <w:sz w:val="24"/>
                <w:szCs w:val="24"/>
                <w:lang w:eastAsia="zh-CN"/>
              </w:rPr>
              <w:t>分</w:t>
            </w:r>
          </w:p>
        </w:tc>
        <w:tc>
          <w:tcPr>
            <w:tcW w:w="7345" w:type="dxa"/>
            <w:vAlign w:val="center"/>
          </w:tcPr>
          <w:p w14:paraId="50D9DA88">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宋体" w:hAnsi="宋体" w:cs="宋体"/>
                <w:color w:val="auto"/>
                <w:kern w:val="2"/>
              </w:rPr>
            </w:pPr>
            <w:r>
              <w:rPr>
                <w:rFonts w:asciiTheme="majorEastAsia" w:hAnsiTheme="majorEastAsia" w:eastAsiaTheme="majorEastAsia"/>
                <w:color w:val="auto"/>
              </w:rPr>
              <w:t>完全满足招标文件技术参数得15分；带▲项为关键参数，每1项负偏离扣3分；一般参数每1项负偏离扣1分，扣完为止。未提供佐证材料视为负偏离；提供虚假材料按无效投标处理。</w:t>
            </w:r>
            <w:r>
              <w:rPr>
                <w:rFonts w:hint="eastAsia" w:asciiTheme="majorEastAsia" w:hAnsiTheme="majorEastAsia" w:eastAsiaTheme="majorEastAsia"/>
                <w:color w:val="auto"/>
              </w:rPr>
              <w:t>提供视频演示验证功能，每1项功能不全或者未演示扣</w:t>
            </w:r>
            <w:r>
              <w:rPr>
                <w:rFonts w:asciiTheme="majorEastAsia" w:hAnsiTheme="majorEastAsia" w:eastAsiaTheme="majorEastAsia"/>
                <w:color w:val="auto"/>
              </w:rPr>
              <w:t>3</w:t>
            </w:r>
            <w:r>
              <w:rPr>
                <w:rFonts w:hint="eastAsia" w:asciiTheme="majorEastAsia" w:hAnsiTheme="majorEastAsia" w:eastAsiaTheme="majorEastAsia"/>
                <w:color w:val="auto"/>
              </w:rPr>
              <w:t>分。</w:t>
            </w:r>
          </w:p>
        </w:tc>
      </w:tr>
      <w:tr w14:paraId="3668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96" w:type="dxa"/>
            <w:vAlign w:val="center"/>
          </w:tcPr>
          <w:p w14:paraId="2AE02DF7">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position w:val="8"/>
                <w:sz w:val="24"/>
                <w:szCs w:val="24"/>
                <w:lang w:eastAsia="zh-CN"/>
              </w:rPr>
            </w:pPr>
            <w:r>
              <w:rPr>
                <w:rFonts w:hint="eastAsia" w:ascii="宋体" w:hAnsi="宋体" w:eastAsia="宋体" w:cs="宋体"/>
                <w:color w:val="auto"/>
                <w:sz w:val="24"/>
                <w:szCs w:val="24"/>
                <w:lang w:eastAsia="zh-CN"/>
              </w:rPr>
              <w:t>3</w:t>
            </w:r>
          </w:p>
        </w:tc>
        <w:tc>
          <w:tcPr>
            <w:tcW w:w="1135" w:type="dxa"/>
            <w:vAlign w:val="center"/>
          </w:tcPr>
          <w:p w14:paraId="02200936">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TW"/>
              </w:rPr>
            </w:pPr>
            <w:r>
              <w:rPr>
                <w:rFonts w:hint="eastAsia" w:cs="宋体" w:asciiTheme="majorEastAsia" w:hAnsiTheme="majorEastAsia" w:eastAsiaTheme="majorEastAsia"/>
                <w:color w:val="auto"/>
                <w:sz w:val="24"/>
                <w:szCs w:val="24"/>
              </w:rPr>
              <w:t>项目实施方案</w:t>
            </w:r>
          </w:p>
        </w:tc>
        <w:tc>
          <w:tcPr>
            <w:tcW w:w="724" w:type="dxa"/>
            <w:vAlign w:val="center"/>
          </w:tcPr>
          <w:p w14:paraId="4FB42B16">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cs="宋体" w:asciiTheme="majorEastAsia" w:hAnsiTheme="majorEastAsia" w:eastAsiaTheme="majorEastAsia"/>
                <w:color w:val="auto"/>
                <w:sz w:val="24"/>
                <w:szCs w:val="24"/>
              </w:rPr>
              <w:t>1</w:t>
            </w:r>
            <w:r>
              <w:rPr>
                <w:rFonts w:cs="宋体" w:asciiTheme="majorEastAsia" w:hAnsiTheme="majorEastAsia" w:eastAsiaTheme="majorEastAsia"/>
                <w:color w:val="auto"/>
                <w:sz w:val="24"/>
                <w:szCs w:val="24"/>
              </w:rPr>
              <w:t>0</w:t>
            </w:r>
            <w:r>
              <w:rPr>
                <w:rFonts w:hint="eastAsia" w:cs="宋体" w:asciiTheme="majorEastAsia" w:hAnsiTheme="majorEastAsia" w:eastAsiaTheme="majorEastAsia"/>
                <w:color w:val="auto"/>
                <w:sz w:val="24"/>
                <w:szCs w:val="24"/>
              </w:rPr>
              <w:t>分</w:t>
            </w:r>
          </w:p>
        </w:tc>
        <w:tc>
          <w:tcPr>
            <w:tcW w:w="7345" w:type="dxa"/>
            <w:vAlign w:val="center"/>
          </w:tcPr>
          <w:p w14:paraId="0A3150C1">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1.优秀：含精确甘特图、关键路径、分工清晰、预案完备、风险对策具体，得8</w:t>
            </w:r>
            <w:r>
              <w:rPr>
                <w:rFonts w:hint="eastAsia" w:cs="宋体" w:asciiTheme="majorEastAsia" w:hAnsiTheme="majorEastAsia" w:eastAsiaTheme="majorEastAsia"/>
                <w:color w:val="auto"/>
                <w:sz w:val="24"/>
                <w:szCs w:val="24"/>
                <w:lang w:eastAsia="zh-CN"/>
              </w:rPr>
              <w:t>—</w:t>
            </w:r>
            <w:r>
              <w:rPr>
                <w:rFonts w:cs="宋体" w:asciiTheme="majorEastAsia" w:hAnsiTheme="majorEastAsia" w:eastAsiaTheme="majorEastAsia"/>
                <w:color w:val="auto"/>
                <w:sz w:val="24"/>
                <w:szCs w:val="24"/>
                <w:lang w:eastAsia="zh-CN"/>
              </w:rPr>
              <w:t>10分；</w:t>
            </w:r>
          </w:p>
          <w:p w14:paraId="20F3B18A">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rPr>
            </w:pPr>
            <w:r>
              <w:rPr>
                <w:rFonts w:cs="宋体" w:asciiTheme="majorEastAsia" w:hAnsiTheme="majorEastAsia" w:eastAsiaTheme="majorEastAsia"/>
                <w:color w:val="auto"/>
                <w:sz w:val="24"/>
                <w:szCs w:val="24"/>
              </w:rPr>
              <w:t>2.良好：方案完整、分工明确、流程可行，得5</w:t>
            </w:r>
            <w:r>
              <w:rPr>
                <w:rFonts w:hint="eastAsia" w:cs="宋体" w:asciiTheme="majorEastAsia" w:hAnsiTheme="majorEastAsia" w:eastAsiaTheme="majorEastAsia"/>
                <w:color w:val="auto"/>
                <w:sz w:val="24"/>
                <w:szCs w:val="24"/>
                <w:lang w:eastAsia="zh-CN"/>
              </w:rPr>
              <w:t>—</w:t>
            </w:r>
            <w:r>
              <w:rPr>
                <w:rFonts w:cs="宋体" w:asciiTheme="majorEastAsia" w:hAnsiTheme="majorEastAsia" w:eastAsiaTheme="majorEastAsia"/>
                <w:color w:val="auto"/>
                <w:sz w:val="24"/>
                <w:szCs w:val="24"/>
              </w:rPr>
              <w:t>7分；</w:t>
            </w:r>
          </w:p>
          <w:p w14:paraId="3FEEC22A">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3.一般：仅文字描述、无图表、无预案，得0-4分；</w:t>
            </w:r>
          </w:p>
          <w:p w14:paraId="050FFED0">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宋体" w:hAnsi="宋体" w:cs="宋体"/>
                <w:color w:val="auto"/>
              </w:rPr>
            </w:pPr>
            <w:r>
              <w:rPr>
                <w:rFonts w:cs="宋体" w:asciiTheme="majorEastAsia" w:hAnsiTheme="majorEastAsia" w:eastAsiaTheme="majorEastAsia"/>
                <w:color w:val="auto"/>
              </w:rPr>
              <w:t>4.未提供或无关，不得分。</w:t>
            </w:r>
          </w:p>
        </w:tc>
      </w:tr>
      <w:tr w14:paraId="38CF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96" w:type="dxa"/>
            <w:vAlign w:val="center"/>
          </w:tcPr>
          <w:p w14:paraId="7B568A4F">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w:t>
            </w:r>
          </w:p>
        </w:tc>
        <w:tc>
          <w:tcPr>
            <w:tcW w:w="1135" w:type="dxa"/>
            <w:vAlign w:val="center"/>
          </w:tcPr>
          <w:p w14:paraId="198F8183">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TW"/>
              </w:rPr>
            </w:pPr>
            <w:bookmarkStart w:id="2" w:name="_Hlk209088254"/>
            <w:r>
              <w:rPr>
                <w:rFonts w:hint="eastAsia" w:cs="宋体" w:asciiTheme="majorEastAsia" w:hAnsiTheme="majorEastAsia" w:eastAsiaTheme="majorEastAsia"/>
                <w:color w:val="auto"/>
                <w:sz w:val="24"/>
                <w:szCs w:val="24"/>
                <w:lang w:eastAsia="zh-CN"/>
              </w:rPr>
              <w:t>质量保障措施方案</w:t>
            </w:r>
            <w:bookmarkEnd w:id="2"/>
          </w:p>
        </w:tc>
        <w:tc>
          <w:tcPr>
            <w:tcW w:w="724" w:type="dxa"/>
            <w:vAlign w:val="center"/>
          </w:tcPr>
          <w:p w14:paraId="4DCA478E">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CN"/>
              </w:rPr>
            </w:pPr>
            <w:r>
              <w:rPr>
                <w:rFonts w:cs="宋体" w:asciiTheme="majorEastAsia" w:hAnsiTheme="majorEastAsia" w:eastAsiaTheme="majorEastAsia"/>
                <w:color w:val="auto"/>
                <w:sz w:val="24"/>
                <w:szCs w:val="24"/>
              </w:rPr>
              <w:t>10</w:t>
            </w:r>
            <w:r>
              <w:rPr>
                <w:rFonts w:hint="eastAsia" w:cs="宋体" w:asciiTheme="majorEastAsia" w:hAnsiTheme="majorEastAsia" w:eastAsiaTheme="majorEastAsia"/>
                <w:color w:val="auto"/>
                <w:sz w:val="24"/>
                <w:szCs w:val="24"/>
              </w:rPr>
              <w:t>分</w:t>
            </w:r>
          </w:p>
        </w:tc>
        <w:tc>
          <w:tcPr>
            <w:tcW w:w="7345" w:type="dxa"/>
            <w:vAlign w:val="center"/>
          </w:tcPr>
          <w:p w14:paraId="25A24992">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1.优秀：措施全面、人员到位、响应及时、预案完善，得8</w:t>
            </w:r>
            <w:r>
              <w:rPr>
                <w:rFonts w:hint="eastAsia" w:cs="宋体" w:asciiTheme="majorEastAsia" w:hAnsiTheme="majorEastAsia" w:eastAsiaTheme="majorEastAsia"/>
                <w:color w:val="auto"/>
                <w:sz w:val="24"/>
                <w:szCs w:val="24"/>
                <w:lang w:eastAsia="zh-CN"/>
              </w:rPr>
              <w:t>—</w:t>
            </w:r>
            <w:r>
              <w:rPr>
                <w:rFonts w:cs="宋体" w:asciiTheme="majorEastAsia" w:hAnsiTheme="majorEastAsia" w:eastAsiaTheme="majorEastAsia"/>
                <w:color w:val="auto"/>
                <w:sz w:val="24"/>
                <w:szCs w:val="24"/>
                <w:lang w:eastAsia="zh-CN"/>
              </w:rPr>
              <w:t>10分；</w:t>
            </w:r>
          </w:p>
          <w:p w14:paraId="5DED3370">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2.良好：措施较全、分工较明，得5</w:t>
            </w:r>
            <w:r>
              <w:rPr>
                <w:rFonts w:hint="eastAsia" w:cs="宋体" w:asciiTheme="majorEastAsia" w:hAnsiTheme="majorEastAsia" w:eastAsiaTheme="majorEastAsia"/>
                <w:color w:val="auto"/>
                <w:sz w:val="24"/>
                <w:szCs w:val="24"/>
                <w:lang w:eastAsia="zh-CN"/>
              </w:rPr>
              <w:t>—</w:t>
            </w:r>
            <w:r>
              <w:rPr>
                <w:rFonts w:cs="宋体" w:asciiTheme="majorEastAsia" w:hAnsiTheme="majorEastAsia" w:eastAsiaTheme="majorEastAsia"/>
                <w:color w:val="auto"/>
                <w:sz w:val="24"/>
                <w:szCs w:val="24"/>
                <w:lang w:eastAsia="zh-CN"/>
              </w:rPr>
              <w:t>7分；</w:t>
            </w:r>
          </w:p>
          <w:p w14:paraId="6FDB41E0">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3.一般：措施基本齐全，得0-4分；</w:t>
            </w:r>
          </w:p>
          <w:p w14:paraId="68192782">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宋体" w:hAnsi="宋体" w:cs="宋体"/>
                <w:color w:val="auto"/>
                <w:kern w:val="2"/>
              </w:rPr>
            </w:pPr>
            <w:r>
              <w:rPr>
                <w:rFonts w:asciiTheme="majorEastAsia" w:hAnsiTheme="majorEastAsia" w:eastAsiaTheme="majorEastAsia"/>
                <w:color w:val="auto"/>
              </w:rPr>
              <w:t>4.未提供不得分。</w:t>
            </w:r>
          </w:p>
        </w:tc>
      </w:tr>
      <w:tr w14:paraId="407B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896" w:type="dxa"/>
            <w:vAlign w:val="center"/>
          </w:tcPr>
          <w:p w14:paraId="4A03197F">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p>
        </w:tc>
        <w:tc>
          <w:tcPr>
            <w:tcW w:w="1135" w:type="dxa"/>
            <w:vAlign w:val="center"/>
          </w:tcPr>
          <w:p w14:paraId="2561EBDF">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cs="宋体" w:asciiTheme="majorEastAsia" w:hAnsiTheme="majorEastAsia" w:eastAsiaTheme="majorEastAsia"/>
                <w:color w:val="auto"/>
                <w:sz w:val="24"/>
                <w:szCs w:val="24"/>
              </w:rPr>
              <w:t>售后服务</w:t>
            </w:r>
          </w:p>
        </w:tc>
        <w:tc>
          <w:tcPr>
            <w:tcW w:w="724" w:type="dxa"/>
            <w:vAlign w:val="center"/>
          </w:tcPr>
          <w:p w14:paraId="75860FC0">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cs="宋体" w:asciiTheme="majorEastAsia" w:hAnsiTheme="majorEastAsia" w:eastAsiaTheme="majorEastAsia"/>
                <w:color w:val="auto"/>
                <w:sz w:val="24"/>
                <w:szCs w:val="24"/>
              </w:rPr>
              <w:t>1</w:t>
            </w:r>
            <w:r>
              <w:rPr>
                <w:rFonts w:hint="eastAsia" w:cs="宋体" w:asciiTheme="majorEastAsia" w:hAnsiTheme="majorEastAsia" w:eastAsiaTheme="majorEastAsia"/>
                <w:color w:val="auto"/>
                <w:sz w:val="24"/>
                <w:szCs w:val="24"/>
                <w:lang w:eastAsia="zh-CN"/>
              </w:rPr>
              <w:t>2</w:t>
            </w:r>
            <w:r>
              <w:rPr>
                <w:rFonts w:hint="eastAsia" w:cs="宋体" w:asciiTheme="majorEastAsia" w:hAnsiTheme="majorEastAsia" w:eastAsiaTheme="majorEastAsia"/>
                <w:color w:val="auto"/>
                <w:sz w:val="24"/>
                <w:szCs w:val="24"/>
              </w:rPr>
              <w:t>分</w:t>
            </w:r>
          </w:p>
        </w:tc>
        <w:tc>
          <w:tcPr>
            <w:tcW w:w="7345" w:type="dxa"/>
            <w:vAlign w:val="center"/>
          </w:tcPr>
          <w:p w14:paraId="3F8E86DA">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基础评分最高10分，持有效认证证书另加2分，合计最高12分</w:t>
            </w:r>
            <w:r>
              <w:rPr>
                <w:rFonts w:hint="eastAsia" w:cs="宋体" w:asciiTheme="majorEastAsia" w:hAnsiTheme="majorEastAsia" w:eastAsiaTheme="majorEastAsia"/>
                <w:color w:val="auto"/>
                <w:sz w:val="24"/>
                <w:szCs w:val="24"/>
                <w:lang w:eastAsia="zh-CN"/>
              </w:rPr>
              <w:t>：</w:t>
            </w:r>
          </w:p>
          <w:p w14:paraId="7C103501">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1.优秀：体系健全、响应快、流程规范、应急与回访完善，得</w:t>
            </w:r>
            <w:r>
              <w:rPr>
                <w:rFonts w:hint="eastAsia" w:cs="宋体" w:asciiTheme="majorEastAsia" w:hAnsiTheme="majorEastAsia" w:eastAsiaTheme="majorEastAsia"/>
                <w:color w:val="auto"/>
                <w:sz w:val="24"/>
                <w:szCs w:val="24"/>
                <w:lang w:eastAsia="zh-CN"/>
              </w:rPr>
              <w:t>8—</w:t>
            </w:r>
            <w:r>
              <w:rPr>
                <w:rFonts w:cs="宋体" w:asciiTheme="majorEastAsia" w:hAnsiTheme="majorEastAsia" w:eastAsiaTheme="majorEastAsia"/>
                <w:color w:val="auto"/>
                <w:sz w:val="24"/>
                <w:szCs w:val="24"/>
                <w:lang w:eastAsia="zh-CN"/>
              </w:rPr>
              <w:t>1</w:t>
            </w:r>
            <w:r>
              <w:rPr>
                <w:rFonts w:hint="eastAsia" w:cs="宋体" w:asciiTheme="majorEastAsia" w:hAnsiTheme="majorEastAsia" w:eastAsiaTheme="majorEastAsia"/>
                <w:color w:val="auto"/>
                <w:sz w:val="24"/>
                <w:szCs w:val="24"/>
                <w:lang w:eastAsia="zh-CN"/>
              </w:rPr>
              <w:t>0</w:t>
            </w:r>
            <w:r>
              <w:rPr>
                <w:rFonts w:cs="宋体" w:asciiTheme="majorEastAsia" w:hAnsiTheme="majorEastAsia" w:eastAsiaTheme="majorEastAsia"/>
                <w:color w:val="auto"/>
                <w:sz w:val="24"/>
                <w:szCs w:val="24"/>
                <w:lang w:eastAsia="zh-CN"/>
              </w:rPr>
              <w:t>分；</w:t>
            </w:r>
          </w:p>
          <w:p w14:paraId="14CE5BBB">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2.良好：服务较完善、响应及时，得5</w:t>
            </w:r>
            <w:r>
              <w:rPr>
                <w:rFonts w:hint="eastAsia" w:cs="宋体" w:asciiTheme="majorEastAsia" w:hAnsiTheme="majorEastAsia" w:eastAsiaTheme="majorEastAsia"/>
                <w:color w:val="auto"/>
                <w:sz w:val="24"/>
                <w:szCs w:val="24"/>
                <w:lang w:eastAsia="zh-CN"/>
              </w:rPr>
              <w:t>—7</w:t>
            </w:r>
            <w:r>
              <w:rPr>
                <w:rFonts w:cs="宋体" w:asciiTheme="majorEastAsia" w:hAnsiTheme="majorEastAsia" w:eastAsiaTheme="majorEastAsia"/>
                <w:color w:val="auto"/>
                <w:sz w:val="24"/>
                <w:szCs w:val="24"/>
                <w:lang w:eastAsia="zh-CN"/>
              </w:rPr>
              <w:t>分；</w:t>
            </w:r>
          </w:p>
          <w:p w14:paraId="4BA1CBDB">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3.一般：具备基本服务能力，得0-4分；</w:t>
            </w:r>
          </w:p>
          <w:p w14:paraId="630A2F49">
            <w:pPr>
              <w:keepNext w:val="0"/>
              <w:keepLines w:val="0"/>
              <w:pageBreakBefore w:val="0"/>
              <w:widowControl/>
              <w:shd w:val="clear" w:color="auto" w:fill="FFFFFF"/>
              <w:kinsoku/>
              <w:wordWrap/>
              <w:overflowPunct/>
              <w:topLinePunct w:val="0"/>
              <w:bidi w:val="0"/>
              <w:adjustRightInd/>
              <w:snapToGrid w:val="0"/>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4.未提供不得分。</w:t>
            </w:r>
          </w:p>
          <w:p w14:paraId="476D0511">
            <w:pPr>
              <w:pStyle w:val="13"/>
              <w:keepNext w:val="0"/>
              <w:keepLines w:val="0"/>
              <w:pageBreakBefore w:val="0"/>
              <w:kinsoku/>
              <w:wordWrap/>
              <w:overflowPunct/>
              <w:topLinePunct w:val="0"/>
              <w:bidi w:val="0"/>
              <w:adjustRightInd/>
              <w:spacing w:before="0" w:beforeAutospacing="0" w:after="0" w:afterAutospacing="0" w:line="360" w:lineRule="exact"/>
              <w:textAlignment w:val="auto"/>
              <w:rPr>
                <w:color w:val="auto"/>
              </w:rPr>
            </w:pPr>
            <w:r>
              <w:rPr>
                <w:rFonts w:hint="eastAsia" w:asciiTheme="majorEastAsia" w:hAnsiTheme="majorEastAsia" w:eastAsiaTheme="majorEastAsia"/>
                <w:color w:val="auto"/>
              </w:rPr>
              <w:t>5.</w:t>
            </w:r>
            <w:r>
              <w:rPr>
                <w:rFonts w:hint="eastAsia"/>
                <w:color w:val="auto"/>
              </w:rPr>
              <w:t>投标人提供本单位商品售后服务评价认证证书的得2分，不提供或提供不符的不得分。投标文件附原件扫描件，原件备查。</w:t>
            </w:r>
          </w:p>
        </w:tc>
      </w:tr>
      <w:tr w14:paraId="108F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896" w:type="dxa"/>
            <w:vAlign w:val="center"/>
          </w:tcPr>
          <w:p w14:paraId="14906739">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6</w:t>
            </w:r>
          </w:p>
        </w:tc>
        <w:tc>
          <w:tcPr>
            <w:tcW w:w="1135" w:type="dxa"/>
            <w:vAlign w:val="center"/>
          </w:tcPr>
          <w:p w14:paraId="02D4A883">
            <w:pPr>
              <w:keepNext w:val="0"/>
              <w:keepLines w:val="0"/>
              <w:pageBreakBefore w:val="0"/>
              <w:kinsoku/>
              <w:wordWrap/>
              <w:overflowPunct/>
              <w:topLinePunct w:val="0"/>
              <w:bidi w:val="0"/>
              <w:adjustRightInd/>
              <w:snapToGrid w:val="0"/>
              <w:spacing w:line="360" w:lineRule="exact"/>
              <w:jc w:val="center"/>
              <w:textAlignment w:val="auto"/>
              <w:rPr>
                <w:rFonts w:cs="宋体" w:asciiTheme="majorEastAsia" w:hAnsiTheme="majorEastAsia" w:eastAsiaTheme="majorEastAsia"/>
                <w:color w:val="auto"/>
                <w:sz w:val="24"/>
                <w:szCs w:val="24"/>
                <w:lang w:eastAsia="zh-CN"/>
              </w:rPr>
            </w:pPr>
            <w:r>
              <w:rPr>
                <w:rFonts w:hint="eastAsia" w:cs="宋体" w:asciiTheme="majorEastAsia" w:hAnsiTheme="majorEastAsia" w:eastAsiaTheme="majorEastAsia"/>
                <w:color w:val="auto"/>
                <w:sz w:val="24"/>
                <w:szCs w:val="24"/>
                <w:lang w:eastAsia="zh-CN"/>
              </w:rPr>
              <w:t>培训服务</w:t>
            </w:r>
          </w:p>
        </w:tc>
        <w:tc>
          <w:tcPr>
            <w:tcW w:w="724" w:type="dxa"/>
            <w:vAlign w:val="center"/>
          </w:tcPr>
          <w:p w14:paraId="335162E9">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cs="宋体" w:asciiTheme="majorEastAsia" w:hAnsiTheme="majorEastAsia" w:eastAsiaTheme="majorEastAsia"/>
                <w:color w:val="auto"/>
                <w:sz w:val="24"/>
                <w:szCs w:val="24"/>
                <w:lang w:eastAsia="zh-CN"/>
              </w:rPr>
              <w:t>8</w:t>
            </w:r>
            <w:r>
              <w:rPr>
                <w:rFonts w:hint="eastAsia" w:cs="宋体" w:asciiTheme="majorEastAsia" w:hAnsiTheme="majorEastAsia" w:eastAsiaTheme="majorEastAsia"/>
                <w:color w:val="auto"/>
                <w:sz w:val="24"/>
                <w:szCs w:val="24"/>
              </w:rPr>
              <w:t>分</w:t>
            </w:r>
          </w:p>
        </w:tc>
        <w:tc>
          <w:tcPr>
            <w:tcW w:w="7345" w:type="dxa"/>
            <w:vAlign w:val="center"/>
          </w:tcPr>
          <w:p w14:paraId="218507A5">
            <w:pPr>
              <w:keepNext w:val="0"/>
              <w:keepLines w:val="0"/>
              <w:pageBreakBefore w:val="0"/>
              <w:widowControl/>
              <w:kinsoku/>
              <w:wordWrap/>
              <w:overflowPunct/>
              <w:topLinePunct w:val="0"/>
              <w:bidi w:val="0"/>
              <w:adjustRightInd/>
              <w:spacing w:line="360" w:lineRule="exact"/>
              <w:textAlignment w:val="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方案包含以下内容，每项</w:t>
            </w:r>
            <w:r>
              <w:rPr>
                <w:rFonts w:asciiTheme="majorEastAsia" w:hAnsiTheme="majorEastAsia" w:eastAsiaTheme="majorEastAsia"/>
                <w:color w:val="auto"/>
                <w:sz w:val="24"/>
                <w:szCs w:val="24"/>
                <w:lang w:eastAsia="zh-CN"/>
              </w:rPr>
              <w:t>2分：</w:t>
            </w:r>
          </w:p>
          <w:p w14:paraId="078317AA">
            <w:pPr>
              <w:keepNext w:val="0"/>
              <w:keepLines w:val="0"/>
              <w:pageBreakBefore w:val="0"/>
              <w:widowControl/>
              <w:kinsoku/>
              <w:wordWrap/>
              <w:overflowPunct/>
              <w:topLinePunct w:val="0"/>
              <w:bidi w:val="0"/>
              <w:adjustRightInd/>
              <w:spacing w:line="360" w:lineRule="exact"/>
              <w:textAlignment w:val="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培训内容与课程设置（明确培训对象、课程安排、课时分配）</w:t>
            </w:r>
          </w:p>
          <w:p w14:paraId="4B2F9C9D">
            <w:pPr>
              <w:keepNext w:val="0"/>
              <w:keepLines w:val="0"/>
              <w:pageBreakBefore w:val="0"/>
              <w:widowControl/>
              <w:kinsoku/>
              <w:wordWrap/>
              <w:overflowPunct/>
              <w:topLinePunct w:val="0"/>
              <w:bidi w:val="0"/>
              <w:adjustRightInd/>
              <w:spacing w:line="360" w:lineRule="exact"/>
              <w:textAlignment w:val="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培训方式与师资安排（线上线下结合、师资资质说明）</w:t>
            </w:r>
          </w:p>
          <w:p w14:paraId="7C98144A">
            <w:pPr>
              <w:keepNext w:val="0"/>
              <w:keepLines w:val="0"/>
              <w:pageBreakBefore w:val="0"/>
              <w:widowControl/>
              <w:kinsoku/>
              <w:wordWrap/>
              <w:overflowPunct/>
              <w:topLinePunct w:val="0"/>
              <w:bidi w:val="0"/>
              <w:adjustRightInd/>
              <w:spacing w:line="360" w:lineRule="exact"/>
              <w:textAlignment w:val="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培训流程与考核方式（签到、考核、证书发放等流程）</w:t>
            </w:r>
          </w:p>
          <w:p w14:paraId="544C5CC3">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培训计划与时间安排（与项目交付节点匹配的培训时间表）</w:t>
            </w:r>
          </w:p>
        </w:tc>
      </w:tr>
      <w:tr w14:paraId="10BB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755" w:type="dxa"/>
            <w:gridSpan w:val="3"/>
            <w:vAlign w:val="center"/>
          </w:tcPr>
          <w:p w14:paraId="54785A24">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合计</w:t>
            </w:r>
          </w:p>
        </w:tc>
        <w:tc>
          <w:tcPr>
            <w:tcW w:w="7345" w:type="dxa"/>
            <w:vAlign w:val="center"/>
          </w:tcPr>
          <w:p w14:paraId="6D2079BA">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lang w:eastAsia="zh-CN"/>
              </w:rPr>
            </w:pPr>
            <w:r>
              <w:rPr>
                <w:rFonts w:hint="eastAsia" w:ascii="宋体" w:hAnsi="宋体" w:eastAsia="宋体" w:cs="宋体"/>
                <w:b/>
                <w:bCs/>
                <w:color w:val="auto"/>
                <w:sz w:val="24"/>
                <w:szCs w:val="24"/>
              </w:rPr>
              <w:t>技术</w:t>
            </w:r>
            <w:r>
              <w:rPr>
                <w:rFonts w:hint="eastAsia" w:ascii="宋体" w:hAnsi="宋体" w:eastAsia="宋体" w:cs="宋体"/>
                <w:b/>
                <w:bCs/>
                <w:color w:val="auto"/>
                <w:sz w:val="24"/>
                <w:szCs w:val="24"/>
                <w:lang w:eastAsia="zh-CN"/>
              </w:rPr>
              <w:t>分总计</w:t>
            </w:r>
            <w:r>
              <w:rPr>
                <w:rFonts w:ascii="宋体" w:hAnsi="宋体" w:eastAsia="宋体" w:cs="宋体"/>
                <w:b/>
                <w:bCs/>
                <w:color w:val="auto"/>
                <w:sz w:val="24"/>
                <w:szCs w:val="24"/>
                <w:lang w:eastAsia="zh-CN"/>
              </w:rPr>
              <w:t>6</w:t>
            </w:r>
            <w:r>
              <w:rPr>
                <w:rFonts w:hint="eastAsia" w:ascii="宋体" w:hAnsi="宋体" w:eastAsia="宋体" w:cs="宋体"/>
                <w:b/>
                <w:bCs/>
                <w:color w:val="auto"/>
                <w:sz w:val="24"/>
                <w:szCs w:val="24"/>
                <w:lang w:eastAsia="zh-CN"/>
              </w:rPr>
              <w:t>5分</w:t>
            </w:r>
          </w:p>
        </w:tc>
      </w:tr>
    </w:tbl>
    <w:p w14:paraId="634A14D6">
      <w:pPr>
        <w:keepNext w:val="0"/>
        <w:keepLines w:val="0"/>
        <w:pageBreakBefore w:val="0"/>
        <w:kinsoku/>
        <w:wordWrap/>
        <w:overflowPunct/>
        <w:topLinePunct w:val="0"/>
        <w:bidi w:val="0"/>
        <w:adjustRightInd/>
        <w:spacing w:line="360" w:lineRule="exact"/>
        <w:textAlignment w:val="auto"/>
        <w:rPr>
          <w:rFonts w:hint="eastAsia" w:ascii="宋体" w:hAnsi="宋体" w:eastAsia="宋体" w:cs="宋体"/>
          <w:b/>
          <w:bCs/>
          <w:color w:val="auto"/>
          <w:sz w:val="24"/>
          <w:szCs w:val="24"/>
          <w:lang w:eastAsia="zh-CN"/>
        </w:rPr>
      </w:pPr>
    </w:p>
    <w:p w14:paraId="0D84F7B3">
      <w:pPr>
        <w:keepNext w:val="0"/>
        <w:keepLines w:val="0"/>
        <w:pageBreakBefore w:val="0"/>
        <w:kinsoku/>
        <w:wordWrap/>
        <w:overflowPunct/>
        <w:topLinePunct w:val="0"/>
        <w:bidi w:val="0"/>
        <w:adjustRightInd/>
        <w:spacing w:line="360" w:lineRule="exact"/>
        <w:textAlignment w:val="auto"/>
        <w:rPr>
          <w:rFonts w:hint="eastAsia" w:ascii="宋体" w:hAnsi="宋体" w:eastAsia="宋体" w:cs="宋体"/>
          <w:b/>
          <w:bCs/>
          <w:color w:val="auto"/>
          <w:sz w:val="24"/>
          <w:szCs w:val="24"/>
          <w:lang w:eastAsia="zh-CN"/>
        </w:rPr>
      </w:pPr>
    </w:p>
    <w:p w14:paraId="3F496453">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color w:val="auto"/>
          <w:sz w:val="32"/>
          <w:szCs w:val="32"/>
        </w:rPr>
      </w:pPr>
      <w:r>
        <w:rPr>
          <w:rFonts w:hint="eastAsia" w:ascii="宋体" w:hAnsi="宋体" w:eastAsia="宋体" w:cs="宋体"/>
          <w:b/>
          <w:bCs/>
          <w:color w:val="auto"/>
          <w:sz w:val="32"/>
          <w:szCs w:val="32"/>
          <w:lang w:eastAsia="zh-CN"/>
        </w:rPr>
        <w:t>（二）</w:t>
      </w:r>
      <w:r>
        <w:rPr>
          <w:rFonts w:hint="eastAsia" w:ascii="宋体" w:hAnsi="宋体" w:eastAsia="宋体" w:cs="宋体"/>
          <w:b/>
          <w:bCs/>
          <w:color w:val="auto"/>
          <w:sz w:val="32"/>
          <w:szCs w:val="32"/>
        </w:rPr>
        <w:t>商务评审表</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9"/>
        <w:gridCol w:w="1268"/>
        <w:gridCol w:w="718"/>
        <w:gridCol w:w="6437"/>
      </w:tblGrid>
      <w:tr w14:paraId="1344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2" w:hRule="exact"/>
          <w:tblHeader/>
          <w:jc w:val="center"/>
        </w:trPr>
        <w:tc>
          <w:tcPr>
            <w:tcW w:w="650" w:type="dxa"/>
            <w:tcBorders>
              <w:tl2br w:val="nil"/>
              <w:tr2bl w:val="nil"/>
            </w:tcBorders>
            <w:vAlign w:val="center"/>
          </w:tcPr>
          <w:p w14:paraId="09C914EF">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1"/>
                <w:szCs w:val="21"/>
              </w:rPr>
              <w:t>序号</w:t>
            </w:r>
          </w:p>
        </w:tc>
        <w:tc>
          <w:tcPr>
            <w:tcW w:w="1297" w:type="dxa"/>
            <w:tcBorders>
              <w:tl2br w:val="nil"/>
              <w:tr2bl w:val="nil"/>
            </w:tcBorders>
            <w:vAlign w:val="center"/>
          </w:tcPr>
          <w:p w14:paraId="5EF212F2">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评审项</w:t>
            </w:r>
          </w:p>
        </w:tc>
        <w:tc>
          <w:tcPr>
            <w:tcW w:w="731" w:type="dxa"/>
            <w:tcBorders>
              <w:tl2br w:val="nil"/>
              <w:tr2bl w:val="nil"/>
            </w:tcBorders>
            <w:vAlign w:val="center"/>
          </w:tcPr>
          <w:p w14:paraId="2997C330">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分值</w:t>
            </w:r>
          </w:p>
        </w:tc>
        <w:tc>
          <w:tcPr>
            <w:tcW w:w="6610" w:type="dxa"/>
            <w:tcBorders>
              <w:tl2br w:val="nil"/>
              <w:tr2bl w:val="nil"/>
            </w:tcBorders>
            <w:vAlign w:val="center"/>
          </w:tcPr>
          <w:p w14:paraId="6BD2E3F6">
            <w:pPr>
              <w:keepNext w:val="0"/>
              <w:keepLines w:val="0"/>
              <w:pageBreakBefore w:val="0"/>
              <w:kinsoku/>
              <w:wordWrap/>
              <w:overflowPunct/>
              <w:topLinePunct w:val="0"/>
              <w:bidi w:val="0"/>
              <w:adjustRightInd/>
              <w:spacing w:line="360" w:lineRule="exact"/>
              <w:ind w:left="41" w:leftChars="-195" w:hanging="470" w:hangingChars="195"/>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评审细则</w:t>
            </w:r>
          </w:p>
        </w:tc>
      </w:tr>
      <w:tr w14:paraId="52AE7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8" w:hRule="atLeast"/>
          <w:jc w:val="center"/>
        </w:trPr>
        <w:tc>
          <w:tcPr>
            <w:tcW w:w="650" w:type="dxa"/>
            <w:tcBorders>
              <w:tl2br w:val="nil"/>
              <w:tr2bl w:val="nil"/>
            </w:tcBorders>
            <w:vAlign w:val="center"/>
          </w:tcPr>
          <w:p w14:paraId="6C01FA7E">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1</w:t>
            </w:r>
          </w:p>
        </w:tc>
        <w:tc>
          <w:tcPr>
            <w:tcW w:w="1297" w:type="dxa"/>
            <w:tcBorders>
              <w:tl2br w:val="nil"/>
              <w:tr2bl w:val="nil"/>
            </w:tcBorders>
            <w:vAlign w:val="center"/>
          </w:tcPr>
          <w:p w14:paraId="455AC475">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cs="宋体" w:asciiTheme="majorEastAsia" w:hAnsiTheme="majorEastAsia" w:eastAsiaTheme="majorEastAsia"/>
                <w:color w:val="auto"/>
                <w:lang w:eastAsia="zh-CN"/>
              </w:rPr>
              <w:t>综合</w:t>
            </w:r>
            <w:r>
              <w:rPr>
                <w:rFonts w:hint="eastAsia" w:cs="宋体" w:asciiTheme="majorEastAsia" w:hAnsiTheme="majorEastAsia" w:eastAsiaTheme="majorEastAsia"/>
                <w:color w:val="auto"/>
              </w:rPr>
              <w:t>实力</w:t>
            </w:r>
          </w:p>
        </w:tc>
        <w:tc>
          <w:tcPr>
            <w:tcW w:w="731" w:type="dxa"/>
            <w:tcBorders>
              <w:tl2br w:val="nil"/>
              <w:tr2bl w:val="nil"/>
            </w:tcBorders>
            <w:vAlign w:val="center"/>
          </w:tcPr>
          <w:p w14:paraId="3D6A6B33">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cs="宋体" w:asciiTheme="majorEastAsia" w:hAnsiTheme="majorEastAsia" w:eastAsiaTheme="majorEastAsia"/>
                <w:color w:val="auto"/>
                <w:sz w:val="24"/>
                <w:szCs w:val="24"/>
                <w:lang w:eastAsia="zh-CN"/>
              </w:rPr>
              <w:t>10</w:t>
            </w:r>
            <w:r>
              <w:rPr>
                <w:rFonts w:hint="eastAsia" w:cs="宋体" w:asciiTheme="majorEastAsia" w:hAnsiTheme="majorEastAsia" w:eastAsiaTheme="majorEastAsia"/>
                <w:color w:val="auto"/>
                <w:sz w:val="24"/>
                <w:szCs w:val="24"/>
                <w:lang w:eastAsia="zh-CN"/>
              </w:rPr>
              <w:t>分</w:t>
            </w:r>
          </w:p>
        </w:tc>
        <w:tc>
          <w:tcPr>
            <w:tcW w:w="6610" w:type="dxa"/>
            <w:tcBorders>
              <w:tl2br w:val="nil"/>
              <w:tr2bl w:val="nil"/>
            </w:tcBorders>
            <w:vAlign w:val="center"/>
          </w:tcPr>
          <w:p w14:paraId="6555BAC8">
            <w:pPr>
              <w:pStyle w:val="13"/>
              <w:keepNext w:val="0"/>
              <w:keepLines w:val="0"/>
              <w:pageBreakBefore w:val="0"/>
              <w:kinsoku/>
              <w:wordWrap/>
              <w:overflowPunct/>
              <w:topLinePunct w:val="0"/>
              <w:bidi w:val="0"/>
              <w:adjustRightInd/>
              <w:spacing w:before="0" w:beforeAutospacing="0" w:after="0" w:afterAutospacing="0" w:line="360" w:lineRule="exact"/>
              <w:textAlignment w:val="auto"/>
              <w:rPr>
                <w:rFonts w:asciiTheme="majorEastAsia" w:hAnsiTheme="majorEastAsia" w:eastAsiaTheme="majorEastAsia"/>
                <w:color w:val="auto"/>
              </w:rPr>
            </w:pPr>
            <w:r>
              <w:rPr>
                <w:rFonts w:hint="eastAsia" w:asciiTheme="majorEastAsia" w:hAnsiTheme="majorEastAsia" w:eastAsiaTheme="majorEastAsia"/>
                <w:color w:val="auto"/>
                <w:shd w:val="clear" w:color="auto" w:fill="FFFFFF"/>
              </w:rPr>
              <w:t>为保证服务企业能进行深度的产教融合，投标人需满足以下企业资质要求，具体评分规则如下：</w:t>
            </w:r>
          </w:p>
          <w:p w14:paraId="24EB726F">
            <w:pPr>
              <w:pStyle w:val="13"/>
              <w:keepNext w:val="0"/>
              <w:keepLines w:val="0"/>
              <w:pageBreakBefore w:val="0"/>
              <w:kinsoku/>
              <w:wordWrap/>
              <w:overflowPunct/>
              <w:topLinePunct w:val="0"/>
              <w:bidi w:val="0"/>
              <w:adjustRightInd/>
              <w:spacing w:before="0" w:beforeAutospacing="0" w:after="0" w:afterAutospacing="0" w:line="360" w:lineRule="exact"/>
              <w:textAlignment w:val="auto"/>
              <w:rPr>
                <w:rFonts w:asciiTheme="majorEastAsia" w:hAnsiTheme="majorEastAsia" w:eastAsiaTheme="majorEastAsia"/>
                <w:color w:val="auto"/>
              </w:rPr>
            </w:pPr>
            <w:r>
              <w:rPr>
                <w:rFonts w:hint="eastAsia" w:asciiTheme="majorEastAsia" w:hAnsiTheme="majorEastAsia" w:eastAsiaTheme="majorEastAsia"/>
                <w:color w:val="auto"/>
              </w:rPr>
              <w:t>1.投标人或子、母公司，为省级或以上企业技术中心、软件技术中心、工程技术中心的得3分（认证材料提供证书复印件并加盖投标单位公章）；</w:t>
            </w:r>
          </w:p>
          <w:p w14:paraId="7791D5C0">
            <w:pPr>
              <w:pStyle w:val="13"/>
              <w:keepNext w:val="0"/>
              <w:keepLines w:val="0"/>
              <w:pageBreakBefore w:val="0"/>
              <w:kinsoku/>
              <w:wordWrap/>
              <w:overflowPunct/>
              <w:topLinePunct w:val="0"/>
              <w:bidi w:val="0"/>
              <w:adjustRightInd/>
              <w:spacing w:before="0" w:beforeAutospacing="0" w:after="0" w:afterAutospacing="0" w:line="360" w:lineRule="exact"/>
              <w:textAlignment w:val="auto"/>
              <w:rPr>
                <w:rFonts w:asciiTheme="majorEastAsia" w:hAnsiTheme="majorEastAsia" w:eastAsiaTheme="majorEastAsia"/>
                <w:color w:val="auto"/>
              </w:rPr>
            </w:pPr>
            <w:r>
              <w:rPr>
                <w:rFonts w:hint="eastAsia" w:asciiTheme="majorEastAsia" w:hAnsiTheme="majorEastAsia" w:eastAsiaTheme="majorEastAsia"/>
                <w:color w:val="auto"/>
              </w:rPr>
              <w:t>2</w:t>
            </w:r>
            <w:r>
              <w:rPr>
                <w:rFonts w:asciiTheme="majorEastAsia" w:hAnsiTheme="majorEastAsia" w:eastAsiaTheme="majorEastAsia"/>
                <w:color w:val="auto"/>
              </w:rPr>
              <w:t>.</w:t>
            </w:r>
            <w:r>
              <w:rPr>
                <w:rFonts w:hint="eastAsia" w:asciiTheme="majorEastAsia" w:hAnsiTheme="majorEastAsia" w:eastAsiaTheme="majorEastAsia"/>
                <w:color w:val="auto"/>
              </w:rPr>
              <w:t>投标人或子、母公司，为省级或以上产教融合型企业及职业教育教师实践基地的得3分（有关材料提供证书复印件并加盖投标单位公章）；</w:t>
            </w:r>
          </w:p>
          <w:p w14:paraId="30C22741">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3.提供</w:t>
            </w:r>
            <w:r>
              <w:rPr>
                <w:rFonts w:hint="eastAsia" w:cs="宋体" w:asciiTheme="majorEastAsia" w:hAnsiTheme="majorEastAsia" w:eastAsiaTheme="majorEastAsia"/>
                <w:color w:val="auto"/>
                <w:sz w:val="24"/>
                <w:szCs w:val="24"/>
                <w:lang w:eastAsia="zh-CN"/>
              </w:rPr>
              <w:t>质量管理体系认证、职业健康安全管理体系认证证书，</w:t>
            </w:r>
            <w:r>
              <w:rPr>
                <w:rFonts w:cs="宋体" w:asciiTheme="majorEastAsia" w:hAnsiTheme="majorEastAsia" w:eastAsiaTheme="majorEastAsia"/>
                <w:color w:val="auto"/>
                <w:lang w:eastAsia="zh-CN"/>
              </w:rPr>
              <w:t>每证1分，最多2分</w:t>
            </w:r>
            <w:r>
              <w:rPr>
                <w:rFonts w:hint="eastAsia" w:cs="宋体" w:asciiTheme="majorEastAsia" w:hAnsiTheme="majorEastAsia" w:eastAsiaTheme="majorEastAsia"/>
                <w:color w:val="auto"/>
                <w:lang w:eastAsia="zh-CN"/>
              </w:rPr>
              <w:t>；</w:t>
            </w:r>
          </w:p>
          <w:p w14:paraId="04889A4F">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宋体" w:hAnsi="宋体" w:cs="宋体"/>
                <w:color w:val="auto"/>
                <w:lang w:eastAsia="zh-TW"/>
              </w:rPr>
            </w:pPr>
            <w:r>
              <w:rPr>
                <w:rFonts w:cs="宋体" w:asciiTheme="majorEastAsia" w:hAnsiTheme="majorEastAsia" w:eastAsiaTheme="majorEastAsia"/>
                <w:color w:val="auto"/>
              </w:rPr>
              <w:t>4.提供信息安全管理体系、信息技术服务管理体系证书，每证1分，最多2分。</w:t>
            </w:r>
          </w:p>
        </w:tc>
      </w:tr>
      <w:tr w14:paraId="61DAC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8" w:hRule="atLeast"/>
          <w:jc w:val="center"/>
        </w:trPr>
        <w:tc>
          <w:tcPr>
            <w:tcW w:w="650" w:type="dxa"/>
            <w:tcBorders>
              <w:tl2br w:val="nil"/>
              <w:tr2bl w:val="nil"/>
            </w:tcBorders>
            <w:vAlign w:val="center"/>
          </w:tcPr>
          <w:p w14:paraId="35D93FB8">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w:t>
            </w:r>
          </w:p>
        </w:tc>
        <w:tc>
          <w:tcPr>
            <w:tcW w:w="1297" w:type="dxa"/>
            <w:tcBorders>
              <w:tl2br w:val="nil"/>
              <w:tr2bl w:val="nil"/>
            </w:tcBorders>
            <w:vAlign w:val="center"/>
          </w:tcPr>
          <w:p w14:paraId="40807E5D">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rPr>
            </w:pPr>
            <w:r>
              <w:rPr>
                <w:rFonts w:hint="eastAsia" w:asciiTheme="majorEastAsia" w:hAnsiTheme="majorEastAsia" w:eastAsiaTheme="majorEastAsia"/>
                <w:color w:val="auto"/>
              </w:rPr>
              <w:t>技术团队</w:t>
            </w:r>
          </w:p>
        </w:tc>
        <w:tc>
          <w:tcPr>
            <w:tcW w:w="731" w:type="dxa"/>
            <w:tcBorders>
              <w:tl2br w:val="nil"/>
              <w:tr2bl w:val="nil"/>
            </w:tcBorders>
            <w:vAlign w:val="center"/>
          </w:tcPr>
          <w:p w14:paraId="5C71024E">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asciiTheme="majorEastAsia" w:hAnsiTheme="majorEastAsia" w:eastAsiaTheme="majorEastAsia"/>
                <w:color w:val="auto"/>
                <w:sz w:val="24"/>
                <w:szCs w:val="24"/>
                <w:lang w:eastAsia="zh-CN"/>
              </w:rPr>
              <w:t>10</w:t>
            </w:r>
            <w:r>
              <w:rPr>
                <w:rFonts w:asciiTheme="majorEastAsia" w:hAnsiTheme="majorEastAsia" w:eastAsiaTheme="majorEastAsia"/>
                <w:color w:val="auto"/>
                <w:sz w:val="24"/>
                <w:szCs w:val="24"/>
              </w:rPr>
              <w:t>分</w:t>
            </w:r>
          </w:p>
        </w:tc>
        <w:tc>
          <w:tcPr>
            <w:tcW w:w="6610" w:type="dxa"/>
            <w:tcBorders>
              <w:tl2br w:val="nil"/>
              <w:tr2bl w:val="nil"/>
            </w:tcBorders>
            <w:vAlign w:val="center"/>
          </w:tcPr>
          <w:p w14:paraId="7EFA4910">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1.项目经理持高级信息系统项目管理师证书，得2分；</w:t>
            </w:r>
          </w:p>
          <w:p w14:paraId="62D1F595">
            <w:pPr>
              <w:keepNext w:val="0"/>
              <w:keepLines w:val="0"/>
              <w:pageBreakBefore w:val="0"/>
              <w:widowControl/>
              <w:kinsoku/>
              <w:wordWrap/>
              <w:overflowPunct/>
              <w:topLinePunct w:val="0"/>
              <w:bidi w:val="0"/>
              <w:adjustRightInd/>
              <w:spacing w:line="360" w:lineRule="exact"/>
              <w:textAlignment w:val="auto"/>
              <w:rPr>
                <w:rFonts w:cs="宋体" w:asciiTheme="majorEastAsia" w:hAnsiTheme="majorEastAsia" w:eastAsiaTheme="majorEastAsia"/>
                <w:color w:val="auto"/>
                <w:sz w:val="24"/>
                <w:szCs w:val="24"/>
                <w:lang w:eastAsia="zh-CN"/>
              </w:rPr>
            </w:pPr>
            <w:r>
              <w:rPr>
                <w:rFonts w:cs="宋体" w:asciiTheme="majorEastAsia" w:hAnsiTheme="majorEastAsia" w:eastAsiaTheme="majorEastAsia"/>
                <w:color w:val="auto"/>
                <w:sz w:val="24"/>
                <w:szCs w:val="24"/>
                <w:lang w:eastAsia="zh-CN"/>
              </w:rPr>
              <w:t>2.技术负责人持高级系统架构设计师证书，得2分</w:t>
            </w:r>
            <w:r>
              <w:rPr>
                <w:rFonts w:hint="eastAsia" w:cs="宋体" w:asciiTheme="majorEastAsia" w:hAnsiTheme="majorEastAsia" w:eastAsiaTheme="majorEastAsia"/>
                <w:color w:val="auto"/>
                <w:sz w:val="24"/>
                <w:szCs w:val="24"/>
                <w:lang w:eastAsia="zh-CN"/>
              </w:rPr>
              <w:t>；</w:t>
            </w:r>
          </w:p>
          <w:p w14:paraId="0812583A">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Theme="majorEastAsia" w:hAnsiTheme="majorEastAsia" w:eastAsiaTheme="majorEastAsia"/>
                <w:color w:val="auto"/>
              </w:rPr>
            </w:pPr>
            <w:r>
              <w:rPr>
                <w:rFonts w:hint="eastAsia" w:asciiTheme="majorEastAsia" w:hAnsiTheme="majorEastAsia" w:eastAsiaTheme="majorEastAsia"/>
                <w:color w:val="auto"/>
              </w:rPr>
              <w:t>3.团队工程师持机械电气高级工程师证书，得2分；</w:t>
            </w:r>
          </w:p>
          <w:p w14:paraId="2151CEA0">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Theme="majorEastAsia" w:hAnsiTheme="majorEastAsia" w:eastAsiaTheme="majorEastAsia"/>
                <w:color w:val="auto"/>
              </w:rPr>
            </w:pPr>
            <w:r>
              <w:rPr>
                <w:rFonts w:hint="eastAsia" w:asciiTheme="majorEastAsia" w:hAnsiTheme="majorEastAsia" w:eastAsiaTheme="majorEastAsia"/>
                <w:color w:val="auto"/>
              </w:rPr>
              <w:t>4.投标企业子、母公司团队成员提供不少于6个机械、电气自动化、电工电子等相关专业毕业证书或职称证书</w:t>
            </w:r>
            <w:r>
              <w:rPr>
                <w:rFonts w:hint="eastAsia" w:asciiTheme="majorEastAsia" w:hAnsiTheme="majorEastAsia" w:eastAsiaTheme="majorEastAsia"/>
                <w:color w:val="auto"/>
                <w:lang w:eastAsia="zh-CN"/>
              </w:rPr>
              <w:t>，得</w:t>
            </w:r>
            <w:r>
              <w:rPr>
                <w:rFonts w:hint="eastAsia" w:asciiTheme="majorEastAsia" w:hAnsiTheme="majorEastAsia" w:eastAsiaTheme="majorEastAsia"/>
                <w:color w:val="auto"/>
              </w:rPr>
              <w:t>4分。</w:t>
            </w:r>
          </w:p>
          <w:p w14:paraId="0401D6FB">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Theme="majorEastAsia" w:hAnsiTheme="majorEastAsia" w:eastAsiaTheme="majorEastAsia"/>
                <w:color w:val="auto"/>
              </w:rPr>
            </w:pPr>
            <w:r>
              <w:rPr>
                <w:rFonts w:asciiTheme="majorEastAsia" w:hAnsiTheme="majorEastAsia" w:eastAsiaTheme="majorEastAsia"/>
                <w:color w:val="auto"/>
              </w:rPr>
              <w:t>（须附证书及近3个月任意1个月社保证明）</w:t>
            </w:r>
          </w:p>
        </w:tc>
      </w:tr>
      <w:tr w14:paraId="7DBE8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678" w:type="dxa"/>
            <w:gridSpan w:val="3"/>
            <w:tcBorders>
              <w:tl2br w:val="nil"/>
              <w:tr2bl w:val="nil"/>
            </w:tcBorders>
            <w:vAlign w:val="center"/>
          </w:tcPr>
          <w:p w14:paraId="4534F975">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合计</w:t>
            </w:r>
          </w:p>
        </w:tc>
        <w:tc>
          <w:tcPr>
            <w:tcW w:w="6610" w:type="dxa"/>
            <w:tcBorders>
              <w:tl2br w:val="nil"/>
              <w:tr2bl w:val="nil"/>
            </w:tcBorders>
            <w:vAlign w:val="center"/>
          </w:tcPr>
          <w:p w14:paraId="6C7FF2A3">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商务分</w:t>
            </w:r>
            <w:r>
              <w:rPr>
                <w:rFonts w:hint="eastAsia" w:ascii="宋体" w:hAnsi="宋体" w:eastAsia="宋体" w:cs="宋体"/>
                <w:b/>
                <w:bCs/>
                <w:color w:val="auto"/>
                <w:sz w:val="24"/>
                <w:szCs w:val="24"/>
                <w:lang w:eastAsia="zh-CN"/>
              </w:rPr>
              <w:t>总计20</w:t>
            </w:r>
            <w:r>
              <w:rPr>
                <w:rFonts w:hint="eastAsia" w:ascii="宋体" w:hAnsi="宋体" w:eastAsia="宋体" w:cs="宋体"/>
                <w:b/>
                <w:bCs/>
                <w:color w:val="auto"/>
                <w:sz w:val="24"/>
                <w:szCs w:val="24"/>
              </w:rPr>
              <w:t>分</w:t>
            </w:r>
          </w:p>
        </w:tc>
      </w:tr>
    </w:tbl>
    <w:p w14:paraId="7D929E10">
      <w:pPr>
        <w:keepNext w:val="0"/>
        <w:keepLines w:val="0"/>
        <w:pageBreakBefore w:val="0"/>
        <w:kinsoku/>
        <w:wordWrap/>
        <w:overflowPunct/>
        <w:topLinePunct w:val="0"/>
        <w:bidi w:val="0"/>
        <w:adjustRightInd/>
        <w:spacing w:line="360" w:lineRule="exact"/>
        <w:textAlignment w:val="auto"/>
        <w:rPr>
          <w:rStyle w:val="48"/>
          <w:rFonts w:ascii="宋体" w:hAnsi="宋体" w:eastAsia="宋体" w:cs="宋体"/>
          <w:color w:val="auto"/>
          <w:szCs w:val="24"/>
        </w:rPr>
      </w:pPr>
    </w:p>
    <w:p w14:paraId="7FDA748C">
      <w:pPr>
        <w:keepNext w:val="0"/>
        <w:keepLines w:val="0"/>
        <w:pageBreakBefore w:val="0"/>
        <w:kinsoku/>
        <w:wordWrap/>
        <w:overflowPunct/>
        <w:topLinePunct w:val="0"/>
        <w:bidi w:val="0"/>
        <w:adjustRightInd/>
        <w:spacing w:line="360" w:lineRule="exact"/>
        <w:jc w:val="center"/>
        <w:textAlignment w:val="auto"/>
        <w:rPr>
          <w:rFonts w:hint="eastAsia" w:ascii="宋体" w:hAnsi="宋体" w:eastAsia="宋体" w:cs="宋体"/>
          <w:b/>
          <w:bCs/>
          <w:color w:val="auto"/>
          <w:sz w:val="24"/>
          <w:szCs w:val="24"/>
          <w:lang w:eastAsia="zh-CN"/>
        </w:rPr>
      </w:pPr>
    </w:p>
    <w:p w14:paraId="16111E34">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color w:val="auto"/>
          <w:sz w:val="32"/>
          <w:szCs w:val="32"/>
        </w:rPr>
      </w:pPr>
      <w:r>
        <w:rPr>
          <w:rFonts w:hint="eastAsia" w:ascii="宋体" w:hAnsi="宋体" w:eastAsia="宋体" w:cs="宋体"/>
          <w:b/>
          <w:bCs/>
          <w:color w:val="auto"/>
          <w:sz w:val="32"/>
          <w:szCs w:val="32"/>
          <w:lang w:eastAsia="zh-CN"/>
        </w:rPr>
        <w:t>（三）价</w:t>
      </w:r>
      <w:r>
        <w:rPr>
          <w:rFonts w:hint="eastAsia" w:ascii="宋体" w:hAnsi="宋体" w:eastAsia="宋体" w:cs="宋体"/>
          <w:b/>
          <w:bCs/>
          <w:color w:val="auto"/>
          <w:sz w:val="32"/>
          <w:szCs w:val="32"/>
        </w:rPr>
        <w:t>格评审表</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0"/>
        <w:gridCol w:w="1208"/>
        <w:gridCol w:w="722"/>
        <w:gridCol w:w="6402"/>
      </w:tblGrid>
      <w:tr w14:paraId="1B2C9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exact"/>
          <w:tblHeader/>
          <w:jc w:val="center"/>
        </w:trPr>
        <w:tc>
          <w:tcPr>
            <w:tcW w:w="788" w:type="dxa"/>
            <w:tcBorders>
              <w:tl2br w:val="nil"/>
              <w:tr2bl w:val="nil"/>
            </w:tcBorders>
            <w:vAlign w:val="center"/>
          </w:tcPr>
          <w:p w14:paraId="61EE51BA">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序号</w:t>
            </w:r>
          </w:p>
        </w:tc>
        <w:tc>
          <w:tcPr>
            <w:tcW w:w="1323" w:type="dxa"/>
            <w:tcBorders>
              <w:tl2br w:val="nil"/>
              <w:tr2bl w:val="nil"/>
            </w:tcBorders>
            <w:vAlign w:val="center"/>
          </w:tcPr>
          <w:p w14:paraId="727997C2">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评审项</w:t>
            </w:r>
          </w:p>
        </w:tc>
        <w:tc>
          <w:tcPr>
            <w:tcW w:w="780" w:type="dxa"/>
            <w:tcBorders>
              <w:tl2br w:val="nil"/>
              <w:tr2bl w:val="nil"/>
            </w:tcBorders>
            <w:vAlign w:val="center"/>
          </w:tcPr>
          <w:p w14:paraId="54C8E485">
            <w:pPr>
              <w:keepNext w:val="0"/>
              <w:keepLines w:val="0"/>
              <w:pageBreakBefore w:val="0"/>
              <w:kinsoku/>
              <w:wordWrap/>
              <w:overflowPunct/>
              <w:topLinePunct w:val="0"/>
              <w:bidi w:val="0"/>
              <w:adjustRightInd/>
              <w:spacing w:line="360" w:lineRule="exact"/>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分值</w:t>
            </w:r>
          </w:p>
        </w:tc>
        <w:tc>
          <w:tcPr>
            <w:tcW w:w="7134" w:type="dxa"/>
            <w:tcBorders>
              <w:tl2br w:val="nil"/>
              <w:tr2bl w:val="nil"/>
            </w:tcBorders>
            <w:vAlign w:val="center"/>
          </w:tcPr>
          <w:p w14:paraId="216D836F">
            <w:pPr>
              <w:keepNext w:val="0"/>
              <w:keepLines w:val="0"/>
              <w:pageBreakBefore w:val="0"/>
              <w:kinsoku/>
              <w:wordWrap/>
              <w:overflowPunct/>
              <w:topLinePunct w:val="0"/>
              <w:bidi w:val="0"/>
              <w:adjustRightInd/>
              <w:spacing w:line="360" w:lineRule="exact"/>
              <w:ind w:left="41" w:leftChars="-195" w:hanging="470" w:hangingChars="195"/>
              <w:jc w:val="center"/>
              <w:textAlignment w:val="auto"/>
              <w:rPr>
                <w:rFonts w:ascii="宋体" w:hAnsi="宋体" w:eastAsia="宋体" w:cs="宋体"/>
                <w:b/>
                <w:bCs/>
                <w:color w:val="auto"/>
                <w:position w:val="8"/>
                <w:sz w:val="24"/>
                <w:szCs w:val="24"/>
              </w:rPr>
            </w:pPr>
            <w:r>
              <w:rPr>
                <w:rFonts w:hint="eastAsia" w:ascii="宋体" w:hAnsi="宋体" w:eastAsia="宋体" w:cs="宋体"/>
                <w:b/>
                <w:bCs/>
                <w:color w:val="auto"/>
                <w:position w:val="8"/>
                <w:sz w:val="24"/>
                <w:szCs w:val="24"/>
              </w:rPr>
              <w:t>评审细则</w:t>
            </w:r>
          </w:p>
        </w:tc>
      </w:tr>
      <w:tr w14:paraId="0061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9" w:hRule="atLeast"/>
          <w:jc w:val="center"/>
        </w:trPr>
        <w:tc>
          <w:tcPr>
            <w:tcW w:w="788" w:type="dxa"/>
            <w:tcBorders>
              <w:tl2br w:val="nil"/>
              <w:tr2bl w:val="nil"/>
            </w:tcBorders>
            <w:vAlign w:val="center"/>
          </w:tcPr>
          <w:p w14:paraId="44010A1C">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rPr>
            </w:pPr>
            <w:r>
              <w:rPr>
                <w:rFonts w:hint="eastAsia" w:ascii="宋体" w:hAnsi="宋体" w:eastAsia="宋体" w:cs="宋体"/>
                <w:color w:val="auto"/>
                <w:sz w:val="24"/>
                <w:szCs w:val="24"/>
              </w:rPr>
              <w:t>1</w:t>
            </w:r>
          </w:p>
        </w:tc>
        <w:tc>
          <w:tcPr>
            <w:tcW w:w="1323" w:type="dxa"/>
            <w:tcBorders>
              <w:tl2br w:val="nil"/>
              <w:tr2bl w:val="nil"/>
            </w:tcBorders>
            <w:vAlign w:val="center"/>
          </w:tcPr>
          <w:p w14:paraId="6B022D34">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rPr>
              <w:t>价格</w:t>
            </w:r>
            <w:r>
              <w:rPr>
                <w:rFonts w:hint="eastAsia" w:ascii="宋体" w:hAnsi="宋体" w:eastAsia="宋体" w:cs="宋体"/>
                <w:color w:val="auto"/>
                <w:sz w:val="24"/>
                <w:szCs w:val="24"/>
                <w:lang w:eastAsia="zh-CN"/>
              </w:rPr>
              <w:t>评分</w:t>
            </w:r>
          </w:p>
        </w:tc>
        <w:tc>
          <w:tcPr>
            <w:tcW w:w="780" w:type="dxa"/>
            <w:tcBorders>
              <w:tl2br w:val="nil"/>
              <w:tr2bl w:val="nil"/>
            </w:tcBorders>
            <w:vAlign w:val="center"/>
          </w:tcPr>
          <w:p w14:paraId="25365293">
            <w:pPr>
              <w:keepNext w:val="0"/>
              <w:keepLines w:val="0"/>
              <w:pageBreakBefore w:val="0"/>
              <w:kinsoku/>
              <w:wordWrap/>
              <w:overflowPunct/>
              <w:topLinePunct w:val="0"/>
              <w:bidi w:val="0"/>
              <w:adjustRightInd/>
              <w:snapToGrid w:val="0"/>
              <w:spacing w:line="360" w:lineRule="exact"/>
              <w:jc w:val="center"/>
              <w:textAlignment w:val="auto"/>
              <w:rPr>
                <w:rFonts w:ascii="宋体" w:hAnsi="宋体" w:eastAsia="宋体" w:cs="宋体"/>
                <w:color w:val="auto"/>
                <w:sz w:val="24"/>
                <w:szCs w:val="24"/>
              </w:rPr>
            </w:pPr>
            <w:r>
              <w:rPr>
                <w:rFonts w:hint="eastAsia" w:ascii="宋体" w:hAnsi="宋体" w:eastAsia="宋体" w:cs="宋体"/>
                <w:color w:val="auto"/>
                <w:sz w:val="24"/>
                <w:szCs w:val="24"/>
                <w:lang w:eastAsia="zh-CN"/>
              </w:rPr>
              <w:t>15分</w:t>
            </w:r>
          </w:p>
        </w:tc>
        <w:tc>
          <w:tcPr>
            <w:tcW w:w="7134" w:type="dxa"/>
            <w:tcBorders>
              <w:tl2br w:val="nil"/>
              <w:tr2bl w:val="nil"/>
            </w:tcBorders>
            <w:vAlign w:val="center"/>
          </w:tcPr>
          <w:p w14:paraId="03CA2C38">
            <w:pPr>
              <w:pStyle w:val="14"/>
              <w:keepNext w:val="0"/>
              <w:keepLines w:val="0"/>
              <w:pageBreakBefore w:val="0"/>
              <w:kinsoku/>
              <w:wordWrap/>
              <w:overflowPunct/>
              <w:topLinePunct w:val="0"/>
              <w:bidi w:val="0"/>
              <w:adjustRightInd/>
              <w:spacing w:before="0" w:beforeAutospacing="0" w:line="360" w:lineRule="exact"/>
              <w:ind w:firstLine="0" w:firstLineChars="0"/>
              <w:textAlignment w:val="auto"/>
              <w:rPr>
                <w:rFonts w:ascii="宋体" w:hAnsi="宋体" w:cs="宋体"/>
                <w:color w:val="auto"/>
              </w:rPr>
            </w:pPr>
            <w:r>
              <w:rPr>
                <w:rFonts w:hint="eastAsia" w:ascii="宋体" w:hAnsi="宋体" w:cs="宋体"/>
                <w:color w:val="auto"/>
              </w:rPr>
              <w:t>投标报价得分＝（评标基准价/投标报价）×价格分值【注：满足文件要求且投标价格最低的投标报价为评标基准价</w:t>
            </w:r>
            <w:r>
              <w:rPr>
                <w:rFonts w:hint="eastAsia" w:ascii="宋体" w:hAnsi="宋体" w:cs="宋体"/>
                <w:color w:val="auto"/>
                <w:lang w:eastAsia="zh-CN"/>
              </w:rPr>
              <w:t>】</w:t>
            </w:r>
          </w:p>
        </w:tc>
      </w:tr>
      <w:tr w14:paraId="4F823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891" w:type="dxa"/>
            <w:gridSpan w:val="3"/>
            <w:tcBorders>
              <w:tl2br w:val="nil"/>
              <w:tr2bl w:val="nil"/>
            </w:tcBorders>
            <w:vAlign w:val="center"/>
          </w:tcPr>
          <w:p w14:paraId="0732F0F5">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合计</w:t>
            </w:r>
          </w:p>
        </w:tc>
        <w:tc>
          <w:tcPr>
            <w:tcW w:w="7134" w:type="dxa"/>
            <w:tcBorders>
              <w:tl2br w:val="nil"/>
              <w:tr2bl w:val="nil"/>
            </w:tcBorders>
            <w:vAlign w:val="center"/>
          </w:tcPr>
          <w:p w14:paraId="7DF07786">
            <w:pPr>
              <w:keepNext w:val="0"/>
              <w:keepLines w:val="0"/>
              <w:pageBreakBefore w:val="0"/>
              <w:kinsoku/>
              <w:wordWrap/>
              <w:overflowPunct/>
              <w:topLinePunct w:val="0"/>
              <w:bidi w:val="0"/>
              <w:adjustRightInd/>
              <w:spacing w:line="360" w:lineRule="exact"/>
              <w:ind w:left="-57" w:leftChars="-26" w:right="-70" w:rightChars="-32"/>
              <w:jc w:val="center"/>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价格分</w:t>
            </w:r>
            <w:r>
              <w:rPr>
                <w:rFonts w:hint="eastAsia" w:ascii="宋体" w:hAnsi="宋体" w:eastAsia="宋体" w:cs="宋体"/>
                <w:b/>
                <w:bCs/>
                <w:color w:val="auto"/>
                <w:sz w:val="24"/>
                <w:szCs w:val="24"/>
                <w:lang w:eastAsia="zh-CN"/>
              </w:rPr>
              <w:t>总计15</w:t>
            </w:r>
            <w:r>
              <w:rPr>
                <w:rFonts w:hint="eastAsia" w:ascii="宋体" w:hAnsi="宋体" w:eastAsia="宋体" w:cs="宋体"/>
                <w:b/>
                <w:bCs/>
                <w:color w:val="auto"/>
                <w:sz w:val="24"/>
                <w:szCs w:val="24"/>
              </w:rPr>
              <w:t>分</w:t>
            </w:r>
          </w:p>
        </w:tc>
      </w:tr>
    </w:tbl>
    <w:p w14:paraId="4BFAE585">
      <w:pPr>
        <w:keepNext w:val="0"/>
        <w:keepLines w:val="0"/>
        <w:pageBreakBefore w:val="0"/>
        <w:kinsoku/>
        <w:wordWrap/>
        <w:overflowPunct/>
        <w:topLinePunct w:val="0"/>
        <w:bidi w:val="0"/>
        <w:adjustRightInd/>
        <w:spacing w:line="360" w:lineRule="exact"/>
        <w:jc w:val="both"/>
        <w:textAlignment w:val="auto"/>
        <w:rPr>
          <w:rFonts w:hint="eastAsia"/>
          <w:b/>
          <w:bCs/>
          <w:color w:val="auto"/>
          <w:sz w:val="28"/>
          <w:szCs w:val="28"/>
          <w:lang w:val="en-US" w:eastAsia="zh-CN"/>
        </w:rPr>
      </w:pPr>
      <w:r>
        <w:rPr>
          <w:rFonts w:hint="eastAsia"/>
          <w:b/>
          <w:bCs/>
          <w:color w:val="auto"/>
          <w:sz w:val="28"/>
          <w:szCs w:val="28"/>
          <w:lang w:eastAsia="zh-CN"/>
        </w:rPr>
        <w:t>总得分</w:t>
      </w:r>
      <w:r>
        <w:rPr>
          <w:rFonts w:hint="eastAsia"/>
          <w:b/>
          <w:bCs/>
          <w:color w:val="auto"/>
          <w:sz w:val="28"/>
          <w:szCs w:val="28"/>
          <w:lang w:val="en-US" w:eastAsia="zh-CN"/>
        </w:rPr>
        <w:t>=</w:t>
      </w:r>
      <w:r>
        <w:rPr>
          <w:rFonts w:hint="eastAsia"/>
          <w:b/>
          <w:bCs/>
          <w:color w:val="auto"/>
          <w:sz w:val="28"/>
          <w:szCs w:val="28"/>
          <w:lang w:eastAsia="zh-CN"/>
        </w:rPr>
        <w:t>（一）技术分</w:t>
      </w:r>
      <w:r>
        <w:rPr>
          <w:rFonts w:hint="eastAsia"/>
          <w:b/>
          <w:bCs/>
          <w:color w:val="auto"/>
          <w:sz w:val="28"/>
          <w:szCs w:val="28"/>
          <w:lang w:val="en-US" w:eastAsia="zh-CN"/>
        </w:rPr>
        <w:t>+（二）</w:t>
      </w:r>
      <w:r>
        <w:rPr>
          <w:rFonts w:hint="eastAsia"/>
          <w:b/>
          <w:bCs/>
          <w:color w:val="auto"/>
          <w:sz w:val="28"/>
          <w:szCs w:val="28"/>
          <w:lang w:eastAsia="zh-CN"/>
        </w:rPr>
        <w:t>商务分</w:t>
      </w:r>
      <w:r>
        <w:rPr>
          <w:rFonts w:hint="eastAsia"/>
          <w:b/>
          <w:bCs/>
          <w:color w:val="auto"/>
          <w:sz w:val="28"/>
          <w:szCs w:val="28"/>
          <w:lang w:val="en-US" w:eastAsia="zh-CN"/>
        </w:rPr>
        <w:t>+（三）</w:t>
      </w:r>
      <w:r>
        <w:rPr>
          <w:rFonts w:hint="eastAsia"/>
          <w:b/>
          <w:bCs/>
          <w:color w:val="auto"/>
          <w:sz w:val="28"/>
          <w:szCs w:val="28"/>
          <w:lang w:eastAsia="zh-CN"/>
        </w:rPr>
        <w:t>价格分</w:t>
      </w:r>
    </w:p>
    <w:sectPr>
      <w:footerReference r:id="rId3" w:type="default"/>
      <w:pgSz w:w="11906" w:h="16838"/>
      <w:pgMar w:top="1417"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634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88D7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988D7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5NzRmMDRhOGY3ODM4YjIwMjc0NmI1ZTU4NDZlNDIifQ=="/>
  </w:docVars>
  <w:rsids>
    <w:rsidRoot w:val="792F2A9C"/>
    <w:rsid w:val="00006742"/>
    <w:rsid w:val="00012B94"/>
    <w:rsid w:val="0005226A"/>
    <w:rsid w:val="00081716"/>
    <w:rsid w:val="00095B56"/>
    <w:rsid w:val="000F2CB7"/>
    <w:rsid w:val="00132AF4"/>
    <w:rsid w:val="00142486"/>
    <w:rsid w:val="00192F85"/>
    <w:rsid w:val="0019308F"/>
    <w:rsid w:val="001E0950"/>
    <w:rsid w:val="001E4703"/>
    <w:rsid w:val="001F5ABE"/>
    <w:rsid w:val="0021669A"/>
    <w:rsid w:val="00240C05"/>
    <w:rsid w:val="002765CB"/>
    <w:rsid w:val="002830CA"/>
    <w:rsid w:val="002D033E"/>
    <w:rsid w:val="002F4B38"/>
    <w:rsid w:val="003505CB"/>
    <w:rsid w:val="003956A2"/>
    <w:rsid w:val="00396B16"/>
    <w:rsid w:val="00494195"/>
    <w:rsid w:val="00496496"/>
    <w:rsid w:val="004B25B9"/>
    <w:rsid w:val="005C449A"/>
    <w:rsid w:val="005D74BA"/>
    <w:rsid w:val="005E7D5D"/>
    <w:rsid w:val="006C190A"/>
    <w:rsid w:val="00706587"/>
    <w:rsid w:val="00795DD4"/>
    <w:rsid w:val="007B4510"/>
    <w:rsid w:val="007E0130"/>
    <w:rsid w:val="0084213C"/>
    <w:rsid w:val="00865ACE"/>
    <w:rsid w:val="0090667D"/>
    <w:rsid w:val="009238E8"/>
    <w:rsid w:val="00994A06"/>
    <w:rsid w:val="009E2AD8"/>
    <w:rsid w:val="009F7FD7"/>
    <w:rsid w:val="00A13618"/>
    <w:rsid w:val="00AD012C"/>
    <w:rsid w:val="00B076DF"/>
    <w:rsid w:val="00B47A09"/>
    <w:rsid w:val="00B60756"/>
    <w:rsid w:val="00BA4CFB"/>
    <w:rsid w:val="00BF2147"/>
    <w:rsid w:val="00C24CA2"/>
    <w:rsid w:val="00C26D31"/>
    <w:rsid w:val="00D013C8"/>
    <w:rsid w:val="00D11AD8"/>
    <w:rsid w:val="00DE1170"/>
    <w:rsid w:val="00DE1D9F"/>
    <w:rsid w:val="00E57C3F"/>
    <w:rsid w:val="00E82CB0"/>
    <w:rsid w:val="00E87A3B"/>
    <w:rsid w:val="00EA0102"/>
    <w:rsid w:val="00F07573"/>
    <w:rsid w:val="00F27791"/>
    <w:rsid w:val="00F8766A"/>
    <w:rsid w:val="00F92925"/>
    <w:rsid w:val="01B04795"/>
    <w:rsid w:val="01C012ED"/>
    <w:rsid w:val="021D229B"/>
    <w:rsid w:val="027F2F56"/>
    <w:rsid w:val="037759DB"/>
    <w:rsid w:val="03D472D2"/>
    <w:rsid w:val="042A6EF2"/>
    <w:rsid w:val="05641532"/>
    <w:rsid w:val="05776166"/>
    <w:rsid w:val="05BE5B43"/>
    <w:rsid w:val="05D9297D"/>
    <w:rsid w:val="06224324"/>
    <w:rsid w:val="06764670"/>
    <w:rsid w:val="0768045D"/>
    <w:rsid w:val="07D77390"/>
    <w:rsid w:val="083D71F3"/>
    <w:rsid w:val="09016473"/>
    <w:rsid w:val="092B34F0"/>
    <w:rsid w:val="09306D58"/>
    <w:rsid w:val="09385C0D"/>
    <w:rsid w:val="0A7B2255"/>
    <w:rsid w:val="0AB8680D"/>
    <w:rsid w:val="0B1B1342"/>
    <w:rsid w:val="0CE51C08"/>
    <w:rsid w:val="0DB31D06"/>
    <w:rsid w:val="0EDE1004"/>
    <w:rsid w:val="0FE20680"/>
    <w:rsid w:val="100B407B"/>
    <w:rsid w:val="11671785"/>
    <w:rsid w:val="11C97D4A"/>
    <w:rsid w:val="11DC7A7D"/>
    <w:rsid w:val="120D5E88"/>
    <w:rsid w:val="12A10CC7"/>
    <w:rsid w:val="137D703E"/>
    <w:rsid w:val="146F2E2A"/>
    <w:rsid w:val="14904B4F"/>
    <w:rsid w:val="14B0184F"/>
    <w:rsid w:val="150D2643"/>
    <w:rsid w:val="15830660"/>
    <w:rsid w:val="16B74615"/>
    <w:rsid w:val="16E86EC4"/>
    <w:rsid w:val="172B6DB1"/>
    <w:rsid w:val="187A1D9E"/>
    <w:rsid w:val="18D21BDA"/>
    <w:rsid w:val="18F06FEA"/>
    <w:rsid w:val="18F27B86"/>
    <w:rsid w:val="191410B9"/>
    <w:rsid w:val="19445F08"/>
    <w:rsid w:val="1A073B05"/>
    <w:rsid w:val="1A1324AA"/>
    <w:rsid w:val="1B065B6B"/>
    <w:rsid w:val="1C99656B"/>
    <w:rsid w:val="1DC30469"/>
    <w:rsid w:val="1E8F5E77"/>
    <w:rsid w:val="1EF74148"/>
    <w:rsid w:val="1F7312F5"/>
    <w:rsid w:val="1F7E6617"/>
    <w:rsid w:val="20793D9C"/>
    <w:rsid w:val="209E65E7"/>
    <w:rsid w:val="20C77B4A"/>
    <w:rsid w:val="21090163"/>
    <w:rsid w:val="215D225D"/>
    <w:rsid w:val="22373017"/>
    <w:rsid w:val="22F015DA"/>
    <w:rsid w:val="23DC390D"/>
    <w:rsid w:val="2446173B"/>
    <w:rsid w:val="245C2E6B"/>
    <w:rsid w:val="249E6E14"/>
    <w:rsid w:val="259A3A7F"/>
    <w:rsid w:val="26D0702D"/>
    <w:rsid w:val="27455C6D"/>
    <w:rsid w:val="2838132E"/>
    <w:rsid w:val="28904CC6"/>
    <w:rsid w:val="292E4C0A"/>
    <w:rsid w:val="298C321D"/>
    <w:rsid w:val="2A834AE2"/>
    <w:rsid w:val="2B035C23"/>
    <w:rsid w:val="2B85488A"/>
    <w:rsid w:val="2BA47406"/>
    <w:rsid w:val="2C5A3F68"/>
    <w:rsid w:val="2D89528C"/>
    <w:rsid w:val="2DA07759"/>
    <w:rsid w:val="2DA52FC1"/>
    <w:rsid w:val="2DFF6B75"/>
    <w:rsid w:val="2E6609A2"/>
    <w:rsid w:val="2E951288"/>
    <w:rsid w:val="315F792B"/>
    <w:rsid w:val="316B62D0"/>
    <w:rsid w:val="32096215"/>
    <w:rsid w:val="32285F6F"/>
    <w:rsid w:val="322F3062"/>
    <w:rsid w:val="324E00CB"/>
    <w:rsid w:val="32B8317A"/>
    <w:rsid w:val="33150BE9"/>
    <w:rsid w:val="335B7DF5"/>
    <w:rsid w:val="33FE78CF"/>
    <w:rsid w:val="344828F8"/>
    <w:rsid w:val="348002E4"/>
    <w:rsid w:val="353D7F83"/>
    <w:rsid w:val="355A28E3"/>
    <w:rsid w:val="35A3428A"/>
    <w:rsid w:val="35A70D3B"/>
    <w:rsid w:val="35AD335B"/>
    <w:rsid w:val="365D6B2F"/>
    <w:rsid w:val="37643EED"/>
    <w:rsid w:val="37A75B88"/>
    <w:rsid w:val="37FA258F"/>
    <w:rsid w:val="38F82B3F"/>
    <w:rsid w:val="396E2E01"/>
    <w:rsid w:val="3A4F2C33"/>
    <w:rsid w:val="3AD4138A"/>
    <w:rsid w:val="3B07350D"/>
    <w:rsid w:val="3B245E6D"/>
    <w:rsid w:val="3B247C1B"/>
    <w:rsid w:val="3C6278E4"/>
    <w:rsid w:val="3CE37662"/>
    <w:rsid w:val="3D936BF9"/>
    <w:rsid w:val="3EB92D70"/>
    <w:rsid w:val="3F780536"/>
    <w:rsid w:val="3FA64240"/>
    <w:rsid w:val="3FAE3F57"/>
    <w:rsid w:val="3FCC262F"/>
    <w:rsid w:val="3FCC6AD3"/>
    <w:rsid w:val="40D86CF7"/>
    <w:rsid w:val="40F47828"/>
    <w:rsid w:val="41327CBE"/>
    <w:rsid w:val="42332E3A"/>
    <w:rsid w:val="447F275C"/>
    <w:rsid w:val="45DE130F"/>
    <w:rsid w:val="46115240"/>
    <w:rsid w:val="4646138E"/>
    <w:rsid w:val="46B8390E"/>
    <w:rsid w:val="471975D2"/>
    <w:rsid w:val="47262F6D"/>
    <w:rsid w:val="47997EBD"/>
    <w:rsid w:val="47CA7D9C"/>
    <w:rsid w:val="487321E2"/>
    <w:rsid w:val="49383370"/>
    <w:rsid w:val="4A0A26D2"/>
    <w:rsid w:val="4A0F7CE8"/>
    <w:rsid w:val="4B2B6DA4"/>
    <w:rsid w:val="4B4B4D50"/>
    <w:rsid w:val="4C6A38FC"/>
    <w:rsid w:val="4C997B78"/>
    <w:rsid w:val="4D2C6E03"/>
    <w:rsid w:val="4DA150FB"/>
    <w:rsid w:val="4DBC0187"/>
    <w:rsid w:val="4F041DE6"/>
    <w:rsid w:val="4F2953A8"/>
    <w:rsid w:val="4F626B0C"/>
    <w:rsid w:val="4F6C798B"/>
    <w:rsid w:val="500951DA"/>
    <w:rsid w:val="505446A7"/>
    <w:rsid w:val="50D43A3A"/>
    <w:rsid w:val="51586419"/>
    <w:rsid w:val="518965D2"/>
    <w:rsid w:val="51ED4DB3"/>
    <w:rsid w:val="524D5852"/>
    <w:rsid w:val="52EA1522"/>
    <w:rsid w:val="53717010"/>
    <w:rsid w:val="538B4884"/>
    <w:rsid w:val="53986FA1"/>
    <w:rsid w:val="53E40A63"/>
    <w:rsid w:val="54444A33"/>
    <w:rsid w:val="54635A77"/>
    <w:rsid w:val="54890697"/>
    <w:rsid w:val="55603AEE"/>
    <w:rsid w:val="55E97640"/>
    <w:rsid w:val="55F34962"/>
    <w:rsid w:val="55F66200"/>
    <w:rsid w:val="56666EE2"/>
    <w:rsid w:val="57034731"/>
    <w:rsid w:val="579B0E0D"/>
    <w:rsid w:val="58816051"/>
    <w:rsid w:val="58E14F46"/>
    <w:rsid w:val="5976568E"/>
    <w:rsid w:val="5A001D38"/>
    <w:rsid w:val="5A380B96"/>
    <w:rsid w:val="5A7F4A16"/>
    <w:rsid w:val="5C2C472A"/>
    <w:rsid w:val="5C797243"/>
    <w:rsid w:val="5D9562FF"/>
    <w:rsid w:val="5DD45079"/>
    <w:rsid w:val="5E135BA1"/>
    <w:rsid w:val="5F3B712F"/>
    <w:rsid w:val="5FB07420"/>
    <w:rsid w:val="60326D30"/>
    <w:rsid w:val="6142679E"/>
    <w:rsid w:val="6232236E"/>
    <w:rsid w:val="63141A74"/>
    <w:rsid w:val="65B521C6"/>
    <w:rsid w:val="66430FEE"/>
    <w:rsid w:val="68B57855"/>
    <w:rsid w:val="69DB32EB"/>
    <w:rsid w:val="6A8B4D12"/>
    <w:rsid w:val="6AF02DC7"/>
    <w:rsid w:val="6B6F4633"/>
    <w:rsid w:val="6CA65E33"/>
    <w:rsid w:val="6D231231"/>
    <w:rsid w:val="6EB011EB"/>
    <w:rsid w:val="6EBE3907"/>
    <w:rsid w:val="6F451933"/>
    <w:rsid w:val="6F54601A"/>
    <w:rsid w:val="701D6A70"/>
    <w:rsid w:val="70227EC6"/>
    <w:rsid w:val="70286B8A"/>
    <w:rsid w:val="703451D7"/>
    <w:rsid w:val="70932B72"/>
    <w:rsid w:val="70FE448F"/>
    <w:rsid w:val="711D243B"/>
    <w:rsid w:val="726431DD"/>
    <w:rsid w:val="727D13E4"/>
    <w:rsid w:val="72B8241C"/>
    <w:rsid w:val="73DD4830"/>
    <w:rsid w:val="741B0EB4"/>
    <w:rsid w:val="74873DE8"/>
    <w:rsid w:val="7491561A"/>
    <w:rsid w:val="75862CA5"/>
    <w:rsid w:val="781F4CEB"/>
    <w:rsid w:val="782019FA"/>
    <w:rsid w:val="78EC0243"/>
    <w:rsid w:val="79030B7F"/>
    <w:rsid w:val="792F2A9C"/>
    <w:rsid w:val="79BD656A"/>
    <w:rsid w:val="79C76C48"/>
    <w:rsid w:val="79E306C6"/>
    <w:rsid w:val="7A783A04"/>
    <w:rsid w:val="7BB35E76"/>
    <w:rsid w:val="7C4A4A2C"/>
    <w:rsid w:val="7C84479C"/>
    <w:rsid w:val="7D1D5C9D"/>
    <w:rsid w:val="7D250FF6"/>
    <w:rsid w:val="7DD2259A"/>
    <w:rsid w:val="7E631DD5"/>
    <w:rsid w:val="7E6B47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仿宋" w:hAnsi="仿宋" w:eastAsia="仿宋" w:cs="仿宋"/>
      <w:sz w:val="22"/>
      <w:szCs w:val="22"/>
      <w:lang w:val="en-US" w:eastAsia="en-US" w:bidi="ar-SA"/>
    </w:rPr>
  </w:style>
  <w:style w:type="paragraph" w:styleId="3">
    <w:name w:val="heading 1"/>
    <w:basedOn w:val="1"/>
    <w:next w:val="1"/>
    <w:link w:val="20"/>
    <w:qFormat/>
    <w:uiPriority w:val="9"/>
    <w:pPr>
      <w:ind w:left="2952"/>
      <w:outlineLvl w:val="0"/>
    </w:pPr>
    <w:rPr>
      <w:rFonts w:ascii="黑体" w:hAnsi="黑体" w:eastAsia="黑体" w:cs="黑体"/>
      <w:sz w:val="44"/>
      <w:szCs w:val="44"/>
    </w:rPr>
  </w:style>
  <w:style w:type="paragraph" w:styleId="4">
    <w:name w:val="heading 2"/>
    <w:basedOn w:val="1"/>
    <w:next w:val="1"/>
    <w:link w:val="19"/>
    <w:qFormat/>
    <w:uiPriority w:val="9"/>
    <w:pPr>
      <w:keepNext/>
      <w:keepLines/>
      <w:spacing w:before="260" w:after="260" w:line="416" w:lineRule="auto"/>
      <w:outlineLvl w:val="1"/>
    </w:pPr>
    <w:rPr>
      <w:rFonts w:ascii="Calibri Light" w:hAnsi="Calibri Light" w:eastAsia="宋体" w:cs="宋体"/>
      <w:b/>
      <w:bCs/>
      <w:sz w:val="32"/>
      <w:szCs w:val="32"/>
    </w:rPr>
  </w:style>
  <w:style w:type="paragraph" w:styleId="5">
    <w:name w:val="heading 3"/>
    <w:basedOn w:val="1"/>
    <w:next w:val="1"/>
    <w:link w:val="48"/>
    <w:qFormat/>
    <w:uiPriority w:val="0"/>
    <w:pPr>
      <w:keepNext/>
      <w:keepLines/>
      <w:spacing w:before="260" w:after="260" w:line="416" w:lineRule="auto"/>
      <w:outlineLvl w:val="2"/>
    </w:pPr>
    <w:rPr>
      <w:b/>
      <w:bCs/>
      <w:sz w:val="32"/>
      <w:szCs w:val="32"/>
    </w:rPr>
  </w:style>
  <w:style w:type="paragraph" w:styleId="6">
    <w:name w:val="heading 4"/>
    <w:basedOn w:val="1"/>
    <w:next w:val="1"/>
    <w:link w:val="39"/>
    <w:qFormat/>
    <w:uiPriority w:val="0"/>
    <w:pPr>
      <w:keepNext/>
      <w:keepLines/>
      <w:spacing w:before="280" w:after="290" w:line="376" w:lineRule="auto"/>
      <w:outlineLvl w:val="3"/>
    </w:pPr>
    <w:rPr>
      <w:rFonts w:ascii="Calibri Light" w:hAnsi="Calibri Light" w:eastAsia="宋体" w:cs="宋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1"/>
    <w:qFormat/>
    <w:uiPriority w:val="0"/>
    <w:pPr>
      <w:spacing w:after="120" w:line="480" w:lineRule="auto"/>
    </w:pPr>
    <w:rPr>
      <w:rFonts w:ascii="Times New Roman" w:hAnsi="Times New Roman" w:eastAsia="宋体" w:cs="Times New Roman"/>
      <w:sz w:val="21"/>
      <w:szCs w:val="20"/>
    </w:rPr>
  </w:style>
  <w:style w:type="paragraph" w:styleId="7">
    <w:name w:val="Normal Indent"/>
    <w:basedOn w:val="1"/>
    <w:next w:val="1"/>
    <w:semiHidden/>
    <w:qFormat/>
    <w:uiPriority w:val="0"/>
    <w:pPr>
      <w:ind w:firstLine="420" w:firstLineChars="200"/>
    </w:pPr>
  </w:style>
  <w:style w:type="paragraph" w:styleId="8">
    <w:name w:val="annotation text"/>
    <w:basedOn w:val="1"/>
    <w:link w:val="40"/>
    <w:qFormat/>
    <w:uiPriority w:val="0"/>
    <w:pPr>
      <w:autoSpaceDE/>
      <w:autoSpaceDN/>
    </w:pPr>
    <w:rPr>
      <w:rFonts w:ascii="Calibri" w:hAnsi="Calibri" w:eastAsia="宋体" w:cs="宋体"/>
      <w:kern w:val="2"/>
      <w:sz w:val="21"/>
      <w:szCs w:val="24"/>
      <w:lang w:eastAsia="zh-CN"/>
    </w:rPr>
  </w:style>
  <w:style w:type="paragraph" w:styleId="9">
    <w:name w:val="Body Text"/>
    <w:basedOn w:val="1"/>
    <w:link w:val="26"/>
    <w:qFormat/>
    <w:uiPriority w:val="1"/>
    <w:pPr>
      <w:spacing w:line="360" w:lineRule="auto"/>
    </w:pPr>
    <w:rPr>
      <w:rFonts w:ascii="宋体" w:hAnsi="宋体" w:eastAsia="宋体" w:cs="宋体"/>
      <w:color w:val="000000"/>
      <w:kern w:val="2"/>
      <w:sz w:val="24"/>
      <w:szCs w:val="24"/>
      <w:lang w:eastAsia="zh-CN"/>
    </w:rPr>
  </w:style>
  <w:style w:type="paragraph" w:styleId="10">
    <w:name w:val="Plain Text"/>
    <w:basedOn w:val="1"/>
    <w:link w:val="49"/>
    <w:qFormat/>
    <w:uiPriority w:val="0"/>
    <w:rPr>
      <w:rFonts w:ascii="新宋体" w:hAnsi="新宋体"/>
      <w:szCs w:val="21"/>
    </w:rPr>
  </w:style>
  <w:style w:type="paragraph" w:styleId="11">
    <w:name w:val="footer"/>
    <w:basedOn w:val="1"/>
    <w:link w:val="24"/>
    <w:qFormat/>
    <w:uiPriority w:val="0"/>
    <w:pPr>
      <w:tabs>
        <w:tab w:val="center" w:pos="4153"/>
        <w:tab w:val="right" w:pos="8306"/>
      </w:tabs>
      <w:snapToGrid w:val="0"/>
    </w:pPr>
    <w:rPr>
      <w:sz w:val="18"/>
      <w:szCs w:val="18"/>
    </w:rPr>
  </w:style>
  <w:style w:type="paragraph" w:styleId="12">
    <w:name w:val="header"/>
    <w:basedOn w:val="1"/>
    <w:link w:val="23"/>
    <w:qFormat/>
    <w:uiPriority w:val="0"/>
    <w:pPr>
      <w:tabs>
        <w:tab w:val="center" w:pos="4153"/>
        <w:tab w:val="right" w:pos="8306"/>
      </w:tabs>
      <w:snapToGrid w:val="0"/>
      <w:jc w:val="center"/>
    </w:pPr>
    <w:rPr>
      <w:sz w:val="18"/>
      <w:szCs w:val="18"/>
    </w:rPr>
  </w:style>
  <w:style w:type="paragraph" w:styleId="13">
    <w:name w:val="Normal (Web)"/>
    <w:basedOn w:val="1"/>
    <w:unhideWhenUsed/>
    <w:qFormat/>
    <w:uiPriority w:val="99"/>
    <w:pPr>
      <w:widowControl/>
      <w:autoSpaceDE/>
      <w:autoSpaceDN/>
      <w:spacing w:before="100" w:beforeAutospacing="1" w:after="100" w:afterAutospacing="1"/>
    </w:pPr>
    <w:rPr>
      <w:rFonts w:ascii="宋体" w:hAnsi="宋体" w:eastAsia="宋体" w:cs="宋体"/>
      <w:sz w:val="24"/>
      <w:szCs w:val="24"/>
      <w:lang w:eastAsia="zh-CN"/>
    </w:rPr>
  </w:style>
  <w:style w:type="paragraph" w:styleId="14">
    <w:name w:val="Body Text First Indent"/>
    <w:basedOn w:val="9"/>
    <w:unhideWhenUsed/>
    <w:qFormat/>
    <w:uiPriority w:val="99"/>
    <w:pPr>
      <w:widowControl/>
      <w:spacing w:before="100" w:beforeAutospacing="1"/>
      <w:ind w:firstLine="420" w:firstLineChars="100"/>
    </w:pPr>
    <w:rPr>
      <w:rFonts w:ascii="Calibri" w:hAnsi="Calibri" w:cs="Times New Roman"/>
      <w:kern w:val="0"/>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customStyle="1" w:styleId="19">
    <w:name w:val="标题 2 字符"/>
    <w:basedOn w:val="17"/>
    <w:link w:val="4"/>
    <w:qFormat/>
    <w:uiPriority w:val="9"/>
    <w:rPr>
      <w:rFonts w:ascii="Calibri Light" w:hAnsi="Calibri Light" w:eastAsia="宋体" w:cs="宋体"/>
      <w:b/>
      <w:bCs/>
      <w:sz w:val="32"/>
      <w:szCs w:val="32"/>
      <w:lang w:eastAsia="en-US"/>
    </w:rPr>
  </w:style>
  <w:style w:type="character" w:customStyle="1" w:styleId="20">
    <w:name w:val="标题 1 字符"/>
    <w:basedOn w:val="17"/>
    <w:link w:val="3"/>
    <w:qFormat/>
    <w:uiPriority w:val="9"/>
    <w:rPr>
      <w:rFonts w:ascii="黑体" w:hAnsi="黑体" w:eastAsia="黑体" w:cs="黑体"/>
      <w:sz w:val="44"/>
      <w:szCs w:val="44"/>
      <w:lang w:eastAsia="en-US"/>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
    <w:name w:val="表格文字"/>
    <w:qFormat/>
    <w:uiPriority w:val="99"/>
    <w:pPr>
      <w:widowControl w:val="0"/>
      <w:spacing w:before="25" w:after="25"/>
      <w:jc w:val="both"/>
    </w:pPr>
    <w:rPr>
      <w:rFonts w:ascii="Calibri" w:hAnsi="Calibri" w:eastAsia="宋体" w:cs="Times New Roman"/>
      <w:bCs/>
      <w:spacing w:val="10"/>
      <w:kern w:val="2"/>
      <w:sz w:val="24"/>
      <w:lang w:val="en-US" w:eastAsia="zh-CN" w:bidi="ar-SA"/>
    </w:rPr>
  </w:style>
  <w:style w:type="character" w:customStyle="1" w:styleId="23">
    <w:name w:val="页眉 字符"/>
    <w:basedOn w:val="17"/>
    <w:link w:val="12"/>
    <w:qFormat/>
    <w:uiPriority w:val="0"/>
    <w:rPr>
      <w:rFonts w:ascii="仿宋" w:hAnsi="仿宋" w:eastAsia="仿宋" w:cs="仿宋"/>
      <w:sz w:val="18"/>
      <w:szCs w:val="18"/>
      <w:lang w:eastAsia="en-US"/>
    </w:rPr>
  </w:style>
  <w:style w:type="character" w:customStyle="1" w:styleId="24">
    <w:name w:val="页脚 字符"/>
    <w:basedOn w:val="17"/>
    <w:link w:val="11"/>
    <w:qFormat/>
    <w:uiPriority w:val="0"/>
    <w:rPr>
      <w:rFonts w:ascii="仿宋" w:hAnsi="仿宋" w:eastAsia="仿宋" w:cs="仿宋"/>
      <w:sz w:val="18"/>
      <w:szCs w:val="18"/>
      <w:lang w:eastAsia="en-US"/>
    </w:rPr>
  </w:style>
  <w:style w:type="paragraph" w:customStyle="1" w:styleId="25">
    <w:name w:val="be358f00-9758-446e-aec5-cde8345aeef3"/>
    <w:basedOn w:val="9"/>
    <w:link w:val="27"/>
    <w:qFormat/>
    <w:uiPriority w:val="0"/>
    <w:pPr>
      <w:adjustRightInd w:val="0"/>
      <w:spacing w:line="288" w:lineRule="auto"/>
      <w:ind w:firstLine="440"/>
    </w:pPr>
    <w:rPr>
      <w:rFonts w:ascii="微软雅黑" w:hAnsi="微软雅黑" w:eastAsia="微软雅黑"/>
      <w:sz w:val="22"/>
    </w:rPr>
  </w:style>
  <w:style w:type="character" w:customStyle="1" w:styleId="26">
    <w:name w:val="正文文本 字符"/>
    <w:basedOn w:val="17"/>
    <w:link w:val="9"/>
    <w:qFormat/>
    <w:uiPriority w:val="1"/>
    <w:rPr>
      <w:rFonts w:ascii="宋体" w:hAnsi="宋体" w:eastAsia="宋体" w:cs="宋体"/>
      <w:color w:val="000000"/>
      <w:kern w:val="2"/>
      <w:sz w:val="24"/>
      <w:szCs w:val="24"/>
    </w:rPr>
  </w:style>
  <w:style w:type="character" w:customStyle="1" w:styleId="27">
    <w:name w:val="be358f00-9758-446e-aec5-cde8345aeef3 字符"/>
    <w:basedOn w:val="26"/>
    <w:link w:val="25"/>
    <w:qFormat/>
    <w:uiPriority w:val="0"/>
    <w:rPr>
      <w:rFonts w:ascii="微软雅黑" w:hAnsi="微软雅黑" w:eastAsia="微软雅黑" w:cs="宋体"/>
      <w:color w:val="000000"/>
      <w:kern w:val="2"/>
      <w:sz w:val="22"/>
      <w:szCs w:val="24"/>
      <w:lang w:eastAsia="en-US"/>
    </w:rPr>
  </w:style>
  <w:style w:type="paragraph" w:customStyle="1" w:styleId="28">
    <w:name w:val="bd243d13-394e-4bd9-99c9-3a29947aa2a1"/>
    <w:basedOn w:val="9"/>
    <w:link w:val="29"/>
    <w:qFormat/>
    <w:uiPriority w:val="0"/>
    <w:pPr>
      <w:adjustRightInd w:val="0"/>
      <w:spacing w:line="600" w:lineRule="exact"/>
      <w:ind w:firstLine="640"/>
      <w:jc w:val="both"/>
    </w:pPr>
  </w:style>
  <w:style w:type="character" w:customStyle="1" w:styleId="29">
    <w:name w:val="bd243d13-394e-4bd9-99c9-3a29947aa2a1 字符"/>
    <w:basedOn w:val="26"/>
    <w:link w:val="28"/>
    <w:qFormat/>
    <w:uiPriority w:val="0"/>
    <w:rPr>
      <w:rFonts w:ascii="仿宋" w:hAnsi="仿宋" w:eastAsia="仿宋" w:cs="宋体"/>
      <w:color w:val="000000"/>
      <w:kern w:val="2"/>
      <w:sz w:val="32"/>
      <w:szCs w:val="24"/>
      <w:lang w:eastAsia="en-US"/>
    </w:rPr>
  </w:style>
  <w:style w:type="paragraph" w:customStyle="1" w:styleId="30">
    <w:name w:val="71e7dc79-1ff7-45e8-997d-0ebda3762b91"/>
    <w:basedOn w:val="4"/>
    <w:next w:val="31"/>
    <w:link w:val="32"/>
    <w:qFormat/>
    <w:uiPriority w:val="0"/>
    <w:pPr>
      <w:adjustRightInd w:val="0"/>
      <w:spacing w:before="0" w:after="0" w:line="288" w:lineRule="auto"/>
    </w:pPr>
    <w:rPr>
      <w:rFonts w:ascii="微软雅黑" w:hAnsi="微软雅黑" w:eastAsia="微软雅黑"/>
      <w:color w:val="000000"/>
      <w:kern w:val="2"/>
      <w:sz w:val="28"/>
      <w:szCs w:val="24"/>
    </w:rPr>
  </w:style>
  <w:style w:type="paragraph" w:customStyle="1" w:styleId="31">
    <w:name w:val="acbfdd8b-e11b-4d36-88ff-6049b138f862"/>
    <w:basedOn w:val="9"/>
    <w:link w:val="33"/>
    <w:qFormat/>
    <w:uiPriority w:val="0"/>
    <w:pPr>
      <w:adjustRightInd w:val="0"/>
      <w:spacing w:line="288" w:lineRule="auto"/>
    </w:pPr>
    <w:rPr>
      <w:rFonts w:ascii="微软雅黑" w:hAnsi="微软雅黑" w:eastAsia="微软雅黑"/>
      <w:sz w:val="22"/>
    </w:rPr>
  </w:style>
  <w:style w:type="character" w:customStyle="1" w:styleId="32">
    <w:name w:val="71e7dc79-1ff7-45e8-997d-0ebda3762b91 字符"/>
    <w:basedOn w:val="26"/>
    <w:link w:val="30"/>
    <w:qFormat/>
    <w:uiPriority w:val="0"/>
    <w:rPr>
      <w:rFonts w:ascii="微软雅黑" w:hAnsi="微软雅黑" w:eastAsia="微软雅黑" w:cs="宋体"/>
      <w:b/>
      <w:bCs/>
      <w:color w:val="000000"/>
      <w:kern w:val="2"/>
      <w:sz w:val="28"/>
      <w:szCs w:val="24"/>
      <w:lang w:eastAsia="en-US"/>
    </w:rPr>
  </w:style>
  <w:style w:type="character" w:customStyle="1" w:styleId="33">
    <w:name w:val="acbfdd8b-e11b-4d36-88ff-6049b138f862 字符"/>
    <w:basedOn w:val="26"/>
    <w:link w:val="31"/>
    <w:qFormat/>
    <w:uiPriority w:val="0"/>
    <w:rPr>
      <w:rFonts w:ascii="微软雅黑" w:hAnsi="微软雅黑" w:eastAsia="微软雅黑" w:cs="宋体"/>
      <w:color w:val="000000"/>
      <w:kern w:val="2"/>
      <w:sz w:val="22"/>
      <w:szCs w:val="24"/>
      <w:lang w:eastAsia="en-US"/>
    </w:rPr>
  </w:style>
  <w:style w:type="paragraph" w:customStyle="1" w:styleId="34">
    <w:name w:val="b63ee27f-4cf3-414c-9275-d88e3f90795e"/>
    <w:basedOn w:val="5"/>
    <w:next w:val="31"/>
    <w:link w:val="35"/>
    <w:qFormat/>
    <w:uiPriority w:val="0"/>
    <w:pPr>
      <w:adjustRightInd w:val="0"/>
      <w:spacing w:before="0" w:after="0" w:line="288" w:lineRule="auto"/>
    </w:pPr>
    <w:rPr>
      <w:rFonts w:ascii="微软雅黑" w:hAnsi="微软雅黑" w:eastAsia="微软雅黑" w:cs="宋体"/>
      <w:bCs w:val="0"/>
      <w:color w:val="000000"/>
      <w:kern w:val="2"/>
      <w:sz w:val="26"/>
      <w:szCs w:val="24"/>
    </w:rPr>
  </w:style>
  <w:style w:type="character" w:customStyle="1" w:styleId="35">
    <w:name w:val="b63ee27f-4cf3-414c-9275-d88e3f90795e 字符"/>
    <w:basedOn w:val="26"/>
    <w:link w:val="34"/>
    <w:qFormat/>
    <w:uiPriority w:val="0"/>
    <w:rPr>
      <w:rFonts w:ascii="微软雅黑" w:hAnsi="微软雅黑" w:eastAsia="微软雅黑" w:cs="宋体"/>
      <w:b/>
      <w:color w:val="000000"/>
      <w:kern w:val="2"/>
      <w:sz w:val="26"/>
      <w:szCs w:val="24"/>
      <w:lang w:eastAsia="en-US"/>
    </w:rPr>
  </w:style>
  <w:style w:type="character" w:customStyle="1" w:styleId="36">
    <w:name w:val="标题 3 字符"/>
    <w:basedOn w:val="17"/>
    <w:qFormat/>
    <w:uiPriority w:val="0"/>
    <w:rPr>
      <w:rFonts w:ascii="仿宋" w:hAnsi="仿宋" w:eastAsia="仿宋" w:cs="仿宋"/>
      <w:b/>
      <w:bCs/>
      <w:sz w:val="32"/>
      <w:szCs w:val="32"/>
      <w:lang w:eastAsia="en-US"/>
    </w:rPr>
  </w:style>
  <w:style w:type="paragraph" w:customStyle="1" w:styleId="37">
    <w:name w:val="566ba9ff-a5b0-4b6f-bbdf-c3ab41993fc2"/>
    <w:basedOn w:val="6"/>
    <w:next w:val="31"/>
    <w:link w:val="38"/>
    <w:qFormat/>
    <w:uiPriority w:val="0"/>
    <w:pPr>
      <w:adjustRightInd w:val="0"/>
      <w:spacing w:before="0" w:after="0" w:line="288" w:lineRule="auto"/>
    </w:pPr>
    <w:rPr>
      <w:rFonts w:ascii="微软雅黑" w:hAnsi="微软雅黑" w:eastAsia="微软雅黑"/>
      <w:bCs w:val="0"/>
      <w:color w:val="000000"/>
      <w:kern w:val="2"/>
      <w:sz w:val="24"/>
      <w:szCs w:val="24"/>
    </w:rPr>
  </w:style>
  <w:style w:type="character" w:customStyle="1" w:styleId="38">
    <w:name w:val="566ba9ff-a5b0-4b6f-bbdf-c3ab41993fc2 字符"/>
    <w:basedOn w:val="26"/>
    <w:link w:val="37"/>
    <w:qFormat/>
    <w:uiPriority w:val="0"/>
    <w:rPr>
      <w:rFonts w:ascii="微软雅黑" w:hAnsi="微软雅黑" w:eastAsia="微软雅黑" w:cs="宋体"/>
      <w:b/>
      <w:color w:val="000000"/>
      <w:kern w:val="2"/>
      <w:sz w:val="24"/>
      <w:szCs w:val="24"/>
      <w:lang w:eastAsia="en-US"/>
    </w:rPr>
  </w:style>
  <w:style w:type="character" w:customStyle="1" w:styleId="39">
    <w:name w:val="标题 4 字符"/>
    <w:basedOn w:val="17"/>
    <w:link w:val="6"/>
    <w:qFormat/>
    <w:uiPriority w:val="0"/>
    <w:rPr>
      <w:rFonts w:ascii="Calibri Light" w:hAnsi="Calibri Light" w:eastAsia="宋体" w:cs="宋体"/>
      <w:b/>
      <w:bCs/>
      <w:sz w:val="28"/>
      <w:szCs w:val="28"/>
      <w:lang w:eastAsia="en-US"/>
    </w:rPr>
  </w:style>
  <w:style w:type="character" w:customStyle="1" w:styleId="40">
    <w:name w:val="批注文字 字符"/>
    <w:basedOn w:val="17"/>
    <w:link w:val="8"/>
    <w:qFormat/>
    <w:uiPriority w:val="0"/>
    <w:rPr>
      <w:kern w:val="2"/>
      <w:sz w:val="21"/>
      <w:szCs w:val="24"/>
    </w:rPr>
  </w:style>
  <w:style w:type="paragraph" w:styleId="41">
    <w:name w:val="List Paragraph"/>
    <w:basedOn w:val="1"/>
    <w:qFormat/>
    <w:uiPriority w:val="1"/>
    <w:pPr>
      <w:autoSpaceDE/>
      <w:autoSpaceDN/>
      <w:ind w:firstLine="420" w:firstLineChars="200"/>
      <w:jc w:val="both"/>
    </w:pPr>
    <w:rPr>
      <w:rFonts w:ascii="Calibri" w:hAnsi="Calibri" w:eastAsia="宋体" w:cs="宋体"/>
      <w:kern w:val="2"/>
      <w:sz w:val="21"/>
      <w:szCs w:val="24"/>
      <w:lang w:eastAsia="zh-CN"/>
    </w:rPr>
  </w:style>
  <w:style w:type="paragraph" w:customStyle="1" w:styleId="42">
    <w:name w:val="正文 A"/>
    <w:qFormat/>
    <w:uiPriority w:val="0"/>
    <w:pPr>
      <w:framePr w:wrap="around" w:vAnchor="margin" w:hAnchor="text" w:yAlign="top"/>
      <w:widowControl w:val="0"/>
      <w:jc w:val="both"/>
    </w:pPr>
    <w:rPr>
      <w:rFonts w:ascii="Calibri" w:hAnsi="Calibri" w:eastAsia="Calibri" w:cs="Calibri"/>
      <w:color w:val="000000"/>
      <w:kern w:val="2"/>
      <w:sz w:val="21"/>
      <w:szCs w:val="21"/>
      <w:u w:color="000000"/>
      <w:lang w:val="en-US" w:eastAsia="zh-CN" w:bidi="ar-SA"/>
    </w:rPr>
  </w:style>
  <w:style w:type="character" w:customStyle="1" w:styleId="43">
    <w:name w:val="font31"/>
    <w:basedOn w:val="17"/>
    <w:qFormat/>
    <w:uiPriority w:val="0"/>
    <w:rPr>
      <w:rFonts w:hint="eastAsia" w:ascii="宋体" w:hAnsi="宋体" w:eastAsia="宋体" w:cs="宋体"/>
      <w:color w:val="000000"/>
      <w:sz w:val="21"/>
      <w:szCs w:val="21"/>
      <w:u w:val="none"/>
    </w:rPr>
  </w:style>
  <w:style w:type="paragraph" w:customStyle="1" w:styleId="44">
    <w:name w:val="Table Text"/>
    <w:basedOn w:val="1"/>
    <w:semiHidden/>
    <w:qFormat/>
    <w:uiPriority w:val="0"/>
    <w:rPr>
      <w:rFonts w:ascii="宋体" w:hAnsi="宋体" w:eastAsia="宋体" w:cs="宋体"/>
      <w:sz w:val="20"/>
      <w:szCs w:val="20"/>
    </w:rPr>
  </w:style>
  <w:style w:type="paragraph" w:customStyle="1" w:styleId="45">
    <w:name w:val="列出段落2"/>
    <w:basedOn w:val="1"/>
    <w:qFormat/>
    <w:uiPriority w:val="0"/>
    <w:pPr>
      <w:adjustRightInd w:val="0"/>
      <w:spacing w:line="312" w:lineRule="atLeast"/>
      <w:ind w:firstLine="420" w:firstLineChars="200"/>
      <w:textAlignment w:val="baseline"/>
    </w:pPr>
    <w:rPr>
      <w:rFonts w:ascii="新宋体" w:hAnsi="新宋体"/>
      <w:szCs w:val="20"/>
    </w:rPr>
  </w:style>
  <w:style w:type="table" w:customStyle="1" w:styleId="46">
    <w:name w:val="Table Normal"/>
    <w:semiHidden/>
    <w:unhideWhenUsed/>
    <w:qFormat/>
    <w:uiPriority w:val="0"/>
    <w:tblPr>
      <w:tblCellMar>
        <w:top w:w="0" w:type="dxa"/>
        <w:left w:w="0" w:type="dxa"/>
        <w:bottom w:w="0" w:type="dxa"/>
        <w:right w:w="0" w:type="dxa"/>
      </w:tblCellMar>
    </w:tblPr>
  </w:style>
  <w:style w:type="paragraph" w:customStyle="1" w:styleId="4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
    <w:name w:val="标题 3 字符1"/>
    <w:link w:val="5"/>
    <w:qFormat/>
    <w:uiPriority w:val="0"/>
    <w:rPr>
      <w:rFonts w:ascii="Times New Roman" w:hAnsi="Times New Roman" w:eastAsia="仿宋"/>
      <w:b/>
      <w:bCs/>
      <w:sz w:val="24"/>
      <w:szCs w:val="32"/>
    </w:rPr>
  </w:style>
  <w:style w:type="character" w:customStyle="1" w:styleId="49">
    <w:name w:val="纯文本 字符"/>
    <w:link w:val="10"/>
    <w:qFormat/>
    <w:uiPriority w:val="0"/>
    <w:rPr>
      <w:rFonts w:ascii="新宋体" w:hAnsi="新宋体" w:eastAsia="仿宋" w:cs="仿宋"/>
      <w:sz w:val="22"/>
      <w:szCs w:val="21"/>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anc\Desktop\&#24191;&#35199;&#24037;&#19994;\6&#19987;&#19994;12&#38376;&#35838;&#26448;&#26009;\6&#19987;&#19994;12&#38376;&#35838;&#26448;&#26009;\&#25307;&#26631;&#20844;&#21578;&#21450;&#38656;&#27714;\&#35780;&#20998;&#26631;&#20934;(&#38656;&#20462;&#2591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9cd202bf-4785-427d-9bcf-abbb776c6780</errorID>
      <errorWord>发送到</errorWord>
      <group>L1_Word</group>
      <groupName>字词问题</groupName>
      <ability>L2_Typo</ability>
      <abilityName>字词错误</abilityName>
      <candidateList>
        <item>发送至</item>
      </candidateList>
      <explain>存在字形相近字词的误用。</explain>
      <paraID>3E3EBC2A</paraID>
      <start>58</start>
      <end>61</end>
      <status>modified</status>
      <modifiedWord>发送至</modifiedWord>
      <trackRevisions>false</trackRevisions>
    </reviewItem>
    <reviewItem>
      <errorID>a4920041-8ff6-47e4-a04a-3d34af0a2e22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47E08629</paraID>
      <start>0</start>
      <end>2</end>
      <status>modified</status>
      <modifiedWord>1.</modifiedWord>
      <trackRevisions>false</trackRevisions>
    </reviewItem>
    <reviewItem>
      <errorID>ba51a4d6-e5c9-453b-a84d-3a84a69e9627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579273C0</paraID>
      <start>0</start>
      <end>2</end>
      <status>modified</status>
      <modifiedWord>2.</modifiedWord>
      <trackRevisions>false</trackRevisions>
    </reviewItem>
    <reviewItem>
      <errorID>abe2dac9-b1d2-49dc-8c0b-1a119e9c3f0c</errorID>
      <errorWord> </errorWord>
      <group>L1_Punc</group>
      <groupName>标点问题</groupName>
      <ability>L2_Punc_CN</ability>
      <abilityName>标点符号问题</abilityName>
      <candidateList>
        <item/>
      </candidateList>
      <explain>此处空格冗余，建议删除。</explain>
      <paraID>46CCCA46</paraID>
      <start>2</start>
      <end>2</end>
      <status>modified</status>
      <modifiedWord/>
      <trackRevisions>false</trackRevisions>
    </reviewItem>
    <reviewItem>
      <errorID>a59d523b-1d0f-4134-9765-077c8aaecda8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A3150C1</paraID>
      <start>36</start>
      <end>37</end>
      <status>modified</status>
      <modifiedWord>—</modifiedWord>
      <trackRevisions>false</trackRevisions>
    </reviewItem>
    <reviewItem>
      <errorID>0d79ebb6-3848-4a17-9574-b2f9dcad6eff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20F3B18A</paraID>
      <start>22</start>
      <end>23</end>
      <status>modified</status>
      <modifiedWord>—</modifiedWord>
      <trackRevisions>false</trackRevisions>
    </reviewItem>
    <reviewItem>
      <errorID>1fb75622-cf24-4b7d-b5ca-25f550f8e2b4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25A24992</paraID>
      <start>27</start>
      <end>28</end>
      <status>modified</status>
      <modifiedWord>—</modifiedWord>
      <trackRevisions>false</trackRevisions>
    </reviewItem>
    <reviewItem>
      <errorID>b7fe4264-cae6-489c-8963-ee02024843d8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5DED3370</paraID>
      <start>17</start>
      <end>18</end>
      <status>modified</status>
      <modifiedWord>—</modifiedWord>
      <trackRevisions>false</trackRevisions>
    </reviewItem>
    <reviewItem>
      <errorID>1f353deb-f947-4131-aaac-506b4c410dbc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7C103501</paraID>
      <start>29</start>
      <end>30</end>
      <status>modified</status>
      <modifiedWord>—</modifiedWord>
      <trackRevisions>false</trackRevisions>
    </reviewItem>
    <reviewItem>
      <errorID>c8eda597-2f3c-472e-b55f-c9e178614f2a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14CE5BBB</paraID>
      <start>18</start>
      <end>19</end>
      <status>modified</status>
      <modifiedWord>—</modifiedWord>
      <trackRevisions>false</trackRevisions>
    </reviewItem>
    <reviewItem>
      <errorID>3cc3578a-fef7-4e2a-b612-849f103f012b</errorID>
      <errorWord>得</errorWord>
      <group>L1_Punc</group>
      <groupName>标点问题</groupName>
      <ability>L2_Punc_CN</ability>
      <abilityName>标点符号问题</abilityName>
      <candidateList>
        <item>，得</item>
      </candidateList>
      <explain/>
      <paraID>2151CEA0</paraID>
      <start>49</start>
      <end>51</end>
      <status>modified</status>
      <modifiedWord>，得</modifiedWord>
      <trackRevisions>false</trackRevisions>
    </reviewItem>
    <reviewItem>
      <errorID>8d430ed4-a438-475f-894b-e126b2e8b6ef</errorID>
      <errorWord>。】</errorWord>
      <group>L1_Punc</group>
      <groupName>标点问题</groupName>
      <ability>L2_Punc_CN</ability>
      <abilityName>标点符号问题</abilityName>
      <candidateList>
        <item>】</item>
      </candidateList>
      <explain/>
      <paraID> 3CA2C38</paraID>
      <start>51</start>
      <end>52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140BE5-B8BC-403E-B23D-3A2476D00369}">
  <ds:schemaRefs/>
</ds:datastoreItem>
</file>

<file path=customXml/itemProps3.xml><?xml version="1.0" encoding="utf-8"?>
<ds:datastoreItem xmlns:ds="http://schemas.openxmlformats.org/officeDocument/2006/customXml" ds:itemID="{15b6226e-9ed2-4487-8338-832e3dc29e38}">
  <ds:schemaRefs/>
</ds:datastoreItem>
</file>

<file path=docProps/app.xml><?xml version="1.0" encoding="utf-8"?>
<Properties xmlns="http://schemas.openxmlformats.org/officeDocument/2006/extended-properties" xmlns:vt="http://schemas.openxmlformats.org/officeDocument/2006/docPropsVTypes">
  <Template>评分标准(需修改).docx</Template>
  <Pages>3</Pages>
  <Words>2000</Words>
  <Characters>2068</Characters>
  <Lines>15</Lines>
  <Paragraphs>4</Paragraphs>
  <TotalTime>8</TotalTime>
  <ScaleCrop>false</ScaleCrop>
  <LinksUpToDate>false</LinksUpToDate>
  <CharactersWithSpaces>2068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2026-06-11T01:51:00Z</dcterms:created>
  <dc:creator>翠翠</dc:creator>
  <cp:lastModifiedBy>warm</cp:lastModifiedBy>
  <dcterms:modified xsi:type="dcterms:W3CDTF">2026-09-02T08:56:18Z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77AB9FEE9B5B45B9B8A51F59C9404242_11</vt:lpwstr>
  </property>
  <property fmtid="{D5CDD505-2E9C-101B-9397-08002B2CF9AE}" pid="4" name="KSOTemplateDocerSaveRecord">
    <vt:lpwstr>eyJoZGlkIjoiMDc4ZjBhNTQ4YTA4ZTE1OTM2ZmFlOGZjYzYxN2E0YTUiLCJ1c2VySWQiOiI5Mjg3NDI2OTIifQ==</vt:lpwstr>
  </property>
</Properties>
</file>