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4F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附件2</w:t>
      </w:r>
    </w:p>
    <w:p w14:paraId="43F9F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sz w:val="36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  <w:t>广西工业技师学院AI展示（体验）中心项目</w:t>
      </w:r>
    </w:p>
    <w:p w14:paraId="59702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  <w:t>设计与施工总承包评分办法</w:t>
      </w:r>
    </w:p>
    <w:bookmarkEnd w:id="0"/>
    <w:p w14:paraId="13E14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一、评分原则</w:t>
      </w:r>
    </w:p>
    <w:p w14:paraId="04AB5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采用综合评分法，总分100分。由评标磋商小组根据投标文件、现场演示、二次报价进行独立打分。</w:t>
      </w:r>
    </w:p>
    <w:p w14:paraId="7FA96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二、评分内容及标准</w:t>
      </w:r>
    </w:p>
    <w:p w14:paraId="316B3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1.投标报价（40分）</w:t>
      </w:r>
    </w:p>
    <w:p w14:paraId="05FAB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以满足招标文件要求且最低有效报价为评标基准价。</w:t>
      </w:r>
    </w:p>
    <w:p w14:paraId="53D43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报价得分＝（基准价÷投标报价）×40</w:t>
      </w:r>
    </w:p>
    <w:p w14:paraId="3B64A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2.设计方案（30分）</w:t>
      </w:r>
    </w:p>
    <w:p w14:paraId="08C15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设计理念贴合AI主题与学院文化；功能分区合理、动线流畅；效果图完整美观；原创性、落地性、可实施性强。</w:t>
      </w:r>
    </w:p>
    <w:p w14:paraId="60F1F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3.施工组织与技术方案（10分）</w:t>
      </w:r>
    </w:p>
    <w:p w14:paraId="454D3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施工方案科学合理；工期安排可行；材料、工艺、质量、安全、消防、环保措施完善；现场管理规范。</w:t>
      </w:r>
    </w:p>
    <w:p w14:paraId="58871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4.AI硬件与系统集成方案（10分）</w:t>
      </w:r>
    </w:p>
    <w:p w14:paraId="7049C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硬件配置合理、满足展示需求；系统稳定、联动顺畅；技术参数可靠、售后保障完善。</w:t>
      </w:r>
    </w:p>
    <w:p w14:paraId="7474C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5.企业业绩与综合实力（10分）</w:t>
      </w:r>
    </w:p>
    <w:p w14:paraId="5EE9B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近5年具有校园展厅、文化建设、AI展示类项目业绩，每提供1个得2分，最多10分。</w:t>
      </w:r>
    </w:p>
    <w:p w14:paraId="51081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三、评分结果</w:t>
      </w:r>
    </w:p>
    <w:p w14:paraId="162C8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各评委打分汇总取算术平均值，为投标人最终得分。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6AAF5B-705B-4E07-8E08-A87778A301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521744D-F43A-4823-BFF7-E12216D686D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326F66C-4309-4390-A52D-15C84AC5206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026F357C-6D99-44DE-9341-8D30314ACC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577AA"/>
    <w:rsid w:val="14F944F9"/>
    <w:rsid w:val="7A45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2026-05-08T02:23:00Z</dcterms:created>
  <dc:creator>Doggy霸霸</dc:creator>
  <cp:lastModifiedBy>Doggy霸霸</cp:lastModifiedBy>
  <dcterms:modified xsi:type="dcterms:W3CDTF">2026-05-08T02:35:36Z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0FA2D432A78D4D40AEA6068D109BCF8C_13</vt:lpwstr>
  </property>
  <property fmtid="{D5CDD505-2E9C-101B-9397-08002B2CF9AE}" pid="4" name="KSOTemplateDocerSaveRecord">
    <vt:lpwstr>eyJoZGlkIjoiNGNhNjUwNmY2MDY0YTM5OTRjYjMyOGIyOWI5YTQ3OWUiLCJ1c2VySWQiOiIyMTA0ODU2NjkifQ==</vt:lpwstr>
  </property>
</Properties>
</file>