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6ADA5">
      <w:pPr>
        <w:keepNext w:val="0"/>
        <w:keepLines w:val="0"/>
        <w:pageBreakBefore w:val="0"/>
        <w:widowControl/>
        <w:kinsoku/>
        <w:wordWrap/>
        <w:overflowPunct/>
        <w:topLinePunct w:val="0"/>
        <w:autoSpaceDE/>
        <w:autoSpaceDN/>
        <w:bidi w:val="0"/>
        <w:spacing w:line="440" w:lineRule="exact"/>
        <w:jc w:val="both"/>
        <w:textAlignment w:val="auto"/>
        <w:rPr>
          <w:rFonts w:hint="eastAsia" w:asciiTheme="minorEastAsia" w:hAnsiTheme="minorEastAsia" w:eastAsiaTheme="minorEastAsia" w:cstheme="minorEastAsia"/>
          <w:b/>
          <w:bCs/>
          <w:color w:val="auto"/>
          <w:kern w:val="0"/>
          <w:sz w:val="30"/>
          <w:szCs w:val="30"/>
        </w:rPr>
      </w:pPr>
      <w:r>
        <w:rPr>
          <w:rFonts w:hint="eastAsia" w:asciiTheme="minorEastAsia" w:hAnsiTheme="minorEastAsia" w:eastAsiaTheme="minorEastAsia" w:cstheme="minorEastAsia"/>
          <w:b/>
          <w:bCs/>
          <w:color w:val="auto"/>
          <w:kern w:val="0"/>
          <w:sz w:val="30"/>
          <w:szCs w:val="30"/>
        </w:rPr>
        <w:t>附件2：</w:t>
      </w:r>
      <w:r>
        <w:rPr>
          <w:rFonts w:hint="eastAsia" w:asciiTheme="minorEastAsia" w:hAnsiTheme="minorEastAsia" w:eastAsiaTheme="minorEastAsia" w:cstheme="minorEastAsia"/>
          <w:b/>
          <w:bCs/>
          <w:color w:val="auto"/>
          <w:kern w:val="0"/>
          <w:sz w:val="30"/>
          <w:szCs w:val="30"/>
          <w:lang w:val="en-US" w:eastAsia="zh-CN"/>
        </w:rPr>
        <w:t>广西工业技师学院</w:t>
      </w:r>
      <w:r>
        <w:rPr>
          <w:rFonts w:hint="eastAsia" w:asciiTheme="minorEastAsia" w:hAnsiTheme="minorEastAsia" w:eastAsiaTheme="minorEastAsia" w:cstheme="minorEastAsia"/>
          <w:b/>
          <w:color w:val="auto"/>
          <w:sz w:val="30"/>
          <w:szCs w:val="30"/>
          <w:lang w:val="en-US" w:eastAsia="zh-CN"/>
        </w:rPr>
        <w:t>（化学工艺专业）</w:t>
      </w:r>
      <w:r>
        <w:rPr>
          <w:rFonts w:hint="eastAsia" w:asciiTheme="minorEastAsia" w:hAnsiTheme="minorEastAsia" w:eastAsiaTheme="minorEastAsia" w:cstheme="minorEastAsia"/>
          <w:b/>
          <w:bCs/>
          <w:color w:val="auto"/>
          <w:kern w:val="0"/>
          <w:sz w:val="30"/>
          <w:szCs w:val="30"/>
          <w:lang w:val="en-US" w:eastAsia="zh-CN"/>
        </w:rPr>
        <w:t>化工总控工技能培训软件开发服务采购</w:t>
      </w:r>
      <w:r>
        <w:rPr>
          <w:rFonts w:hint="eastAsia" w:asciiTheme="minorEastAsia" w:hAnsiTheme="minorEastAsia" w:eastAsiaTheme="minorEastAsia" w:cstheme="minorEastAsia"/>
          <w:b/>
          <w:bCs/>
          <w:color w:val="auto"/>
          <w:kern w:val="0"/>
          <w:sz w:val="30"/>
          <w:szCs w:val="30"/>
        </w:rPr>
        <w:t>评</w:t>
      </w:r>
      <w:r>
        <w:rPr>
          <w:rFonts w:hint="eastAsia" w:asciiTheme="minorEastAsia" w:hAnsiTheme="minorEastAsia" w:eastAsiaTheme="minorEastAsia" w:cstheme="minorEastAsia"/>
          <w:b/>
          <w:bCs/>
          <w:color w:val="auto"/>
          <w:kern w:val="0"/>
          <w:sz w:val="30"/>
          <w:szCs w:val="30"/>
          <w:lang w:val="en-US" w:eastAsia="zh-CN"/>
        </w:rPr>
        <w:t>标</w:t>
      </w:r>
      <w:r>
        <w:rPr>
          <w:rFonts w:hint="eastAsia" w:asciiTheme="minorEastAsia" w:hAnsiTheme="minorEastAsia" w:eastAsiaTheme="minorEastAsia" w:cstheme="minorEastAsia"/>
          <w:b/>
          <w:bCs/>
          <w:color w:val="auto"/>
          <w:kern w:val="0"/>
          <w:sz w:val="30"/>
          <w:szCs w:val="30"/>
        </w:rPr>
        <w:t>办法</w:t>
      </w:r>
    </w:p>
    <w:p w14:paraId="30179C35">
      <w:pPr>
        <w:pStyle w:val="2"/>
        <w:rPr>
          <w:rFonts w:hint="eastAsia"/>
          <w:lang w:eastAsia="zh-CN"/>
        </w:rPr>
      </w:pPr>
    </w:p>
    <w:p w14:paraId="5419B72E">
      <w:pPr>
        <w:spacing w:line="360" w:lineRule="auto"/>
        <w:jc w:val="center"/>
        <w:rPr>
          <w:rFonts w:ascii="宋体" w:hAnsi="宋体" w:eastAsia="宋体" w:cs="宋体"/>
          <w:b/>
          <w:bCs/>
          <w:color w:val="auto"/>
          <w:sz w:val="32"/>
          <w:szCs w:val="32"/>
        </w:rPr>
      </w:pPr>
      <w:r>
        <w:rPr>
          <w:rFonts w:hint="eastAsia" w:ascii="宋体" w:hAnsi="宋体" w:eastAsia="宋体" w:cs="宋体"/>
          <w:b/>
          <w:bCs/>
          <w:color w:val="auto"/>
          <w:sz w:val="32"/>
          <w:szCs w:val="32"/>
          <w:lang w:eastAsia="zh-CN"/>
        </w:rPr>
        <w:t>（一）</w:t>
      </w:r>
      <w:r>
        <w:rPr>
          <w:rFonts w:hint="eastAsia" w:ascii="宋体" w:hAnsi="宋体" w:eastAsia="宋体" w:cs="宋体"/>
          <w:b/>
          <w:bCs/>
          <w:color w:val="auto"/>
          <w:sz w:val="32"/>
          <w:szCs w:val="32"/>
        </w:rPr>
        <w:t>技术评审表</w:t>
      </w:r>
    </w:p>
    <w:tbl>
      <w:tblPr>
        <w:tblStyle w:val="10"/>
        <w:tblW w:w="55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162"/>
        <w:gridCol w:w="741"/>
        <w:gridCol w:w="7519"/>
      </w:tblGrid>
      <w:tr w14:paraId="3BC2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tblHeader/>
          <w:jc w:val="center"/>
        </w:trPr>
        <w:tc>
          <w:tcPr>
            <w:tcW w:w="896" w:type="dxa"/>
            <w:vAlign w:val="center"/>
          </w:tcPr>
          <w:p w14:paraId="370E2668">
            <w:pPr>
              <w:spacing w:line="360" w:lineRule="auto"/>
              <w:jc w:val="center"/>
              <w:rPr>
                <w:rFonts w:ascii="宋体" w:hAnsi="宋体" w:eastAsia="宋体" w:cs="宋体"/>
                <w:b/>
                <w:bCs/>
                <w:color w:val="auto"/>
                <w:position w:val="8"/>
                <w:sz w:val="21"/>
                <w:szCs w:val="21"/>
              </w:rPr>
            </w:pPr>
            <w:r>
              <w:rPr>
                <w:rFonts w:hint="eastAsia" w:ascii="宋体" w:hAnsi="宋体" w:eastAsia="宋体" w:cs="宋体"/>
                <w:b/>
                <w:bCs/>
                <w:color w:val="auto"/>
                <w:position w:val="8"/>
                <w:sz w:val="21"/>
                <w:szCs w:val="21"/>
              </w:rPr>
              <w:t>序号</w:t>
            </w:r>
          </w:p>
        </w:tc>
        <w:tc>
          <w:tcPr>
            <w:tcW w:w="1135" w:type="dxa"/>
            <w:vAlign w:val="center"/>
          </w:tcPr>
          <w:p w14:paraId="4AE56B34">
            <w:pPr>
              <w:spacing w:line="360" w:lineRule="auto"/>
              <w:jc w:val="center"/>
              <w:rPr>
                <w:rFonts w:ascii="宋体" w:hAnsi="宋体" w:eastAsia="宋体" w:cs="宋体"/>
                <w:b/>
                <w:bCs/>
                <w:color w:val="auto"/>
                <w:position w:val="8"/>
                <w:sz w:val="21"/>
                <w:szCs w:val="21"/>
              </w:rPr>
            </w:pPr>
            <w:r>
              <w:rPr>
                <w:rFonts w:hint="eastAsia" w:ascii="宋体" w:hAnsi="宋体" w:eastAsia="宋体" w:cs="宋体"/>
                <w:b/>
                <w:bCs/>
                <w:color w:val="auto"/>
                <w:position w:val="8"/>
                <w:sz w:val="21"/>
                <w:szCs w:val="21"/>
              </w:rPr>
              <w:t>评审项</w:t>
            </w:r>
          </w:p>
        </w:tc>
        <w:tc>
          <w:tcPr>
            <w:tcW w:w="724" w:type="dxa"/>
            <w:vAlign w:val="center"/>
          </w:tcPr>
          <w:p w14:paraId="7C09AE80">
            <w:pPr>
              <w:spacing w:line="360" w:lineRule="auto"/>
              <w:jc w:val="center"/>
              <w:rPr>
                <w:rFonts w:ascii="宋体" w:hAnsi="宋体" w:eastAsia="宋体" w:cs="宋体"/>
                <w:b/>
                <w:bCs/>
                <w:color w:val="auto"/>
                <w:position w:val="8"/>
                <w:sz w:val="21"/>
                <w:szCs w:val="21"/>
              </w:rPr>
            </w:pPr>
            <w:r>
              <w:rPr>
                <w:rFonts w:hint="eastAsia" w:ascii="宋体" w:hAnsi="宋体" w:eastAsia="宋体" w:cs="宋体"/>
                <w:b/>
                <w:bCs/>
                <w:color w:val="auto"/>
                <w:position w:val="8"/>
                <w:sz w:val="21"/>
                <w:szCs w:val="21"/>
              </w:rPr>
              <w:t>分值</w:t>
            </w:r>
          </w:p>
        </w:tc>
        <w:tc>
          <w:tcPr>
            <w:tcW w:w="7345" w:type="dxa"/>
            <w:vAlign w:val="center"/>
          </w:tcPr>
          <w:p w14:paraId="1E68FD48">
            <w:pPr>
              <w:spacing w:line="360" w:lineRule="auto"/>
              <w:ind w:left="-18" w:leftChars="-195" w:hanging="411" w:hangingChars="195"/>
              <w:jc w:val="center"/>
              <w:rPr>
                <w:rFonts w:ascii="宋体" w:hAnsi="宋体" w:eastAsia="宋体" w:cs="宋体"/>
                <w:b/>
                <w:bCs/>
                <w:color w:val="auto"/>
                <w:position w:val="8"/>
                <w:sz w:val="21"/>
                <w:szCs w:val="21"/>
              </w:rPr>
            </w:pPr>
            <w:r>
              <w:rPr>
                <w:rFonts w:hint="eastAsia" w:ascii="宋体" w:hAnsi="宋体" w:eastAsia="宋体" w:cs="宋体"/>
                <w:b/>
                <w:bCs/>
                <w:color w:val="auto"/>
                <w:position w:val="8"/>
                <w:sz w:val="21"/>
                <w:szCs w:val="21"/>
              </w:rPr>
              <w:t>评审细则</w:t>
            </w:r>
          </w:p>
        </w:tc>
      </w:tr>
      <w:tr w14:paraId="0176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896" w:type="dxa"/>
            <w:vAlign w:val="center"/>
          </w:tcPr>
          <w:p w14:paraId="4AFC1C96">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color w:val="auto"/>
                <w:position w:val="8"/>
                <w:sz w:val="24"/>
                <w:szCs w:val="24"/>
              </w:rPr>
            </w:pPr>
            <w:r>
              <w:rPr>
                <w:rFonts w:hint="eastAsia" w:ascii="宋体" w:hAnsi="宋体" w:eastAsia="宋体" w:cs="宋体"/>
                <w:color w:val="auto"/>
                <w:position w:val="8"/>
                <w:sz w:val="24"/>
                <w:szCs w:val="24"/>
              </w:rPr>
              <w:t>1</w:t>
            </w:r>
          </w:p>
        </w:tc>
        <w:tc>
          <w:tcPr>
            <w:tcW w:w="1135" w:type="dxa"/>
            <w:vAlign w:val="center"/>
          </w:tcPr>
          <w:p w14:paraId="3D9B63B2">
            <w:pPr>
              <w:pStyle w:val="12"/>
              <w:keepNext w:val="0"/>
              <w:keepLines w:val="0"/>
              <w:pageBreakBefore w:val="0"/>
              <w:kinsoku/>
              <w:wordWrap/>
              <w:overflowPunct/>
              <w:topLinePunct w:val="0"/>
              <w:bidi w:val="0"/>
              <w:adjustRightInd/>
              <w:spacing w:line="360" w:lineRule="exact"/>
              <w:jc w:val="center"/>
              <w:textAlignment w:val="auto"/>
              <w:rPr>
                <w:rFonts w:ascii="宋体" w:hAnsi="宋体" w:cs="宋体"/>
                <w:color w:val="auto"/>
                <w:sz w:val="24"/>
              </w:rPr>
            </w:pPr>
            <w:bookmarkStart w:id="0" w:name="OLE_LINK4"/>
            <w:r>
              <w:rPr>
                <w:rFonts w:hint="eastAsia" w:cs="宋体" w:asciiTheme="majorEastAsia" w:hAnsiTheme="majorEastAsia" w:eastAsiaTheme="majorEastAsia"/>
                <w:color w:val="auto"/>
                <w:sz w:val="24"/>
              </w:rPr>
              <w:t>功能演示</w:t>
            </w:r>
            <w:bookmarkEnd w:id="0"/>
          </w:p>
        </w:tc>
        <w:tc>
          <w:tcPr>
            <w:tcW w:w="724" w:type="dxa"/>
            <w:vAlign w:val="center"/>
          </w:tcPr>
          <w:p w14:paraId="5E117968">
            <w:r>
              <w:rPr>
                <w:rFonts w:hint="eastAsia"/>
                <w:lang w:val="en-US" w:eastAsia="zh-CN"/>
              </w:rPr>
              <w:t>10.5</w:t>
            </w:r>
            <w:r>
              <w:t>分</w:t>
            </w:r>
          </w:p>
        </w:tc>
        <w:tc>
          <w:tcPr>
            <w:tcW w:w="7345" w:type="dxa"/>
            <w:vAlign w:val="center"/>
          </w:tcPr>
          <w:p w14:paraId="2648FD46">
            <w:pPr>
              <w:keepNext w:val="0"/>
              <w:keepLines w:val="0"/>
              <w:pageBreakBefore w:val="0"/>
              <w:widowControl/>
              <w:kinsoku/>
              <w:wordWrap/>
              <w:overflowPunct/>
              <w:topLinePunct w:val="0"/>
              <w:bidi w:val="0"/>
              <w:adjustRightInd/>
              <w:spacing w:line="360" w:lineRule="exact"/>
              <w:textAlignment w:val="auto"/>
              <w:rPr>
                <w:rFonts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一、演示要求</w:t>
            </w:r>
          </w:p>
          <w:p w14:paraId="3EE58A9B">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1.竞标时，对如下内容进行现场演示，评委根据演示内容与要求的匹配性进行打分，本项最高得</w:t>
            </w:r>
            <w:r>
              <w:rPr>
                <w:rFonts w:hint="eastAsia" w:ascii="宋体" w:hAnsi="宋体" w:eastAsia="宋体" w:cs="仿宋"/>
                <w:color w:val="auto"/>
                <w:sz w:val="24"/>
                <w:szCs w:val="24"/>
                <w:highlight w:val="none"/>
                <w:lang w:val="en-US" w:eastAsia="zh-CN" w:bidi="ar-SA"/>
              </w:rPr>
              <w:t>10.5</w:t>
            </w:r>
            <w:r>
              <w:rPr>
                <w:rFonts w:hint="eastAsia" w:ascii="宋体" w:hAnsi="宋体" w:eastAsia="宋体" w:cs="仿宋"/>
                <w:color w:val="auto"/>
                <w:sz w:val="24"/>
                <w:szCs w:val="24"/>
                <w:highlight w:val="none"/>
                <w:lang w:val="zh-TW" w:eastAsia="zh-CN" w:bidi="ar-SA"/>
              </w:rPr>
              <w:t>分。</w:t>
            </w:r>
          </w:p>
          <w:p w14:paraId="4E7F9D24">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2.演示所用到的软硬件设备由投标人自理，每家投标人演示时间不超过</w:t>
            </w:r>
            <w:r>
              <w:rPr>
                <w:rFonts w:hint="eastAsia" w:ascii="宋体" w:hAnsi="宋体" w:eastAsia="宋体" w:cs="仿宋"/>
                <w:color w:val="auto"/>
                <w:sz w:val="24"/>
                <w:szCs w:val="24"/>
                <w:highlight w:val="none"/>
                <w:lang w:val="en-US" w:eastAsia="zh-CN" w:bidi="ar-SA"/>
              </w:rPr>
              <w:t>45</w:t>
            </w:r>
            <w:r>
              <w:rPr>
                <w:rFonts w:hint="eastAsia" w:ascii="宋体" w:hAnsi="宋体" w:eastAsia="宋体" w:cs="仿宋"/>
                <w:color w:val="auto"/>
                <w:sz w:val="24"/>
                <w:szCs w:val="24"/>
                <w:highlight w:val="none"/>
                <w:lang w:val="zh-TW" w:eastAsia="zh-CN" w:bidi="ar-SA"/>
              </w:rPr>
              <w:t>分钟。</w:t>
            </w:r>
          </w:p>
          <w:p w14:paraId="1C763ECB">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3.本项目演示采用现场真实产品操作演示，演示须为投标人对所投软件/系统的实时实际操作。</w:t>
            </w:r>
          </w:p>
          <w:p w14:paraId="313EE3B4">
            <w:pPr>
              <w:keepNext w:val="0"/>
              <w:keepLines w:val="0"/>
              <w:pageBreakBefore w:val="0"/>
              <w:widowControl/>
              <w:kinsoku/>
              <w:wordWrap/>
              <w:overflowPunct/>
              <w:topLinePunct w:val="0"/>
              <w:bidi w:val="0"/>
              <w:adjustRightInd/>
              <w:spacing w:line="360" w:lineRule="exact"/>
              <w:textAlignment w:val="auto"/>
              <w:rPr>
                <w:rFonts w:hint="default"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投标人不得以视频、录屏、动画、AI合成视频、AI生成界面/PPT/软件、静态页面、非交互式原型、第三方演示环境等形式替代现场演示；演示时评委可现场要求重复操作、变更参数或随机抽查功能点，投标人须当场完成；无法完成的，对应功能项不得分。</w:t>
            </w:r>
          </w:p>
          <w:p w14:paraId="746B1914">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二、演示内容（共</w:t>
            </w:r>
            <w:r>
              <w:rPr>
                <w:rFonts w:hint="eastAsia" w:ascii="宋体" w:hAnsi="宋体" w:eastAsia="宋体" w:cs="仿宋"/>
                <w:color w:val="auto"/>
                <w:sz w:val="24"/>
                <w:szCs w:val="24"/>
                <w:highlight w:val="none"/>
                <w:lang w:val="en-US" w:eastAsia="zh-CN" w:bidi="ar-SA"/>
              </w:rPr>
              <w:t>7</w:t>
            </w:r>
            <w:r>
              <w:rPr>
                <w:rFonts w:hint="eastAsia" w:ascii="宋体" w:hAnsi="宋体" w:eastAsia="宋体" w:cs="仿宋"/>
                <w:color w:val="auto"/>
                <w:sz w:val="24"/>
                <w:szCs w:val="24"/>
                <w:highlight w:val="none"/>
                <w:lang w:val="zh-TW" w:eastAsia="zh-CN" w:bidi="ar-SA"/>
              </w:rPr>
              <w:t>项，每项</w:t>
            </w:r>
            <w:r>
              <w:rPr>
                <w:rFonts w:hint="eastAsia" w:ascii="宋体" w:hAnsi="宋体" w:eastAsia="宋体" w:cs="仿宋"/>
                <w:color w:val="auto"/>
                <w:sz w:val="24"/>
                <w:szCs w:val="24"/>
                <w:highlight w:val="none"/>
                <w:lang w:val="en-US" w:eastAsia="zh-CN" w:bidi="ar-SA"/>
              </w:rPr>
              <w:t>1.5</w:t>
            </w:r>
            <w:r>
              <w:rPr>
                <w:rFonts w:hint="eastAsia" w:ascii="宋体" w:hAnsi="宋体" w:eastAsia="宋体" w:cs="仿宋"/>
                <w:color w:val="auto"/>
                <w:sz w:val="24"/>
                <w:szCs w:val="24"/>
                <w:highlight w:val="none"/>
                <w:lang w:val="zh-TW" w:eastAsia="zh-CN" w:bidi="ar-SA"/>
              </w:rPr>
              <w:t>分，合计</w:t>
            </w:r>
            <w:r>
              <w:rPr>
                <w:rFonts w:hint="eastAsia" w:ascii="宋体" w:hAnsi="宋体" w:eastAsia="宋体" w:cs="仿宋"/>
                <w:color w:val="auto"/>
                <w:sz w:val="24"/>
                <w:szCs w:val="24"/>
                <w:highlight w:val="none"/>
                <w:lang w:val="en-US" w:eastAsia="zh-CN" w:bidi="ar-SA"/>
              </w:rPr>
              <w:t>10.5</w:t>
            </w:r>
            <w:r>
              <w:rPr>
                <w:rFonts w:hint="eastAsia" w:ascii="宋体" w:hAnsi="宋体" w:eastAsia="宋体" w:cs="仿宋"/>
                <w:color w:val="auto"/>
                <w:sz w:val="24"/>
                <w:szCs w:val="24"/>
                <w:highlight w:val="none"/>
                <w:lang w:val="zh-TW" w:eastAsia="zh-CN" w:bidi="ar-SA"/>
              </w:rPr>
              <w:t>分）</w:t>
            </w:r>
          </w:p>
          <w:p w14:paraId="5304E116">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1.要求投标人现场演示通过临界比例度法调试出等幅振荡曲线的过程，且直观体现实时信号流的传输。并通过暂停/启动按钮功能测量计算出临界振荡周期。</w:t>
            </w:r>
          </w:p>
          <w:p w14:paraId="0ED2BEE6">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2.要求投标人现场演示依托丙烯酸甲酯工艺，软件界面集成酯提纯塔多变量先进控制器运行监控界面。界面设置丙烯酸甲酯产量总值、用电消耗量、冷却水消耗量、低压蒸汽消耗量</w:t>
            </w:r>
            <w:bookmarkStart w:id="1" w:name="_GoBack"/>
            <w:r>
              <w:rPr>
                <w:rFonts w:hint="eastAsia" w:ascii="宋体" w:hAnsi="宋体" w:eastAsia="宋体" w:cs="仿宋"/>
                <w:color w:val="auto"/>
                <w:sz w:val="24"/>
                <w:szCs w:val="24"/>
                <w:highlight w:val="none"/>
                <w:lang w:val="en-US" w:eastAsia="zh-CN" w:bidi="ar-SA"/>
              </w:rPr>
              <w:t>，以及</w:t>
            </w:r>
            <w:bookmarkEnd w:id="1"/>
            <w:r>
              <w:rPr>
                <w:rFonts w:hint="eastAsia" w:ascii="宋体" w:hAnsi="宋体" w:eastAsia="宋体" w:cs="仿宋"/>
                <w:color w:val="auto"/>
                <w:sz w:val="24"/>
                <w:szCs w:val="24"/>
                <w:highlight w:val="none"/>
                <w:lang w:val="en-US" w:eastAsia="zh-CN" w:bidi="ar-SA"/>
              </w:rPr>
              <w:t>控制性能监控参数，并且各个参数的数值关联生产运行数据，并实时变化。</w:t>
            </w:r>
          </w:p>
          <w:p w14:paraId="365F45DA">
            <w:pPr>
              <w:keepNext w:val="0"/>
              <w:keepLines w:val="0"/>
              <w:pageBreakBefore w:val="0"/>
              <w:widowControl/>
              <w:kinsoku/>
              <w:wordWrap/>
              <w:overflowPunct/>
              <w:topLinePunct w:val="0"/>
              <w:bidi w:val="0"/>
              <w:adjustRightInd/>
              <w:spacing w:line="360" w:lineRule="exact"/>
              <w:textAlignment w:val="auto"/>
              <w:rPr>
                <w:rFonts w:hint="default"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3.要求投标人现场演示依托丙烯酸甲酯工艺设置APC操作站（OS站），界面设置MD/DV监控区、CV监控区、约束条件监控区。</w:t>
            </w:r>
          </w:p>
          <w:p w14:paraId="2E59065A">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4.要求投标人现场演示换热器单元离心泵盘车，包括检查泵的运行状态、检查有无泄漏、润滑油检查，以及开始盘车，打开泵的防护罩、选择盘车方向、确认轴承转动情况，关闭防护罩等操作过程。要求离心泵具备润滑油杯、防护罩、轴承、压力表等细节内容。</w:t>
            </w:r>
          </w:p>
          <w:p w14:paraId="7D0F9EF8">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en-US" w:eastAsia="zh-CN" w:bidi="ar-SA"/>
              </w:rPr>
              <w:t>5.</w:t>
            </w:r>
            <w:r>
              <w:rPr>
                <w:rFonts w:hint="eastAsia" w:ascii="宋体" w:hAnsi="宋体" w:eastAsia="宋体" w:cs="仿宋"/>
                <w:color w:val="auto"/>
                <w:sz w:val="24"/>
                <w:szCs w:val="24"/>
                <w:highlight w:val="none"/>
                <w:lang w:val="zh-TW" w:eastAsia="zh-CN" w:bidi="ar-SA"/>
              </w:rPr>
              <w:t>要求</w:t>
            </w:r>
            <w:r>
              <w:rPr>
                <w:rFonts w:hint="eastAsia" w:ascii="宋体" w:hAnsi="宋体" w:eastAsia="宋体" w:cs="仿宋"/>
                <w:color w:val="auto"/>
                <w:sz w:val="24"/>
                <w:szCs w:val="24"/>
                <w:highlight w:val="none"/>
                <w:lang w:val="en-US" w:eastAsia="zh-CN" w:bidi="ar-SA"/>
              </w:rPr>
              <w:t>投标人现场</w:t>
            </w:r>
            <w:r>
              <w:rPr>
                <w:rFonts w:hint="eastAsia" w:ascii="宋体" w:hAnsi="宋体" w:eastAsia="宋体" w:cs="仿宋"/>
                <w:color w:val="auto"/>
                <w:sz w:val="24"/>
                <w:szCs w:val="24"/>
                <w:highlight w:val="none"/>
                <w:lang w:val="zh-TW" w:eastAsia="zh-CN" w:bidi="ar-SA"/>
              </w:rPr>
              <w:t>演示动火作业前的相关安全检查事项，包括危害识别、相关管线、分析数据、消防器材、气瓶、监护人员、动火作业票等的合规性检查。要求以任务卡片的形式设计危害识别交互题目、作业现场具备监护人员、消防器材、气瓶等。</w:t>
            </w:r>
          </w:p>
          <w:p w14:paraId="56AA6545">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6.要求投标人现场演示－轻量化资源-甲醇合成塔安全技术措施选择。</w:t>
            </w:r>
          </w:p>
          <w:p w14:paraId="09CCC401">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1）要求演示通过在3D甲醇合成全景中触发展示甲醇合成塔工艺流程动画、泄漏中毒特效、泄漏着火特效；</w:t>
            </w:r>
          </w:p>
          <w:p w14:paraId="5BBC8BFE">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2）通过对话引导及场景切换形式进行任务的推进。</w:t>
            </w:r>
          </w:p>
          <w:p w14:paraId="3216A826">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3）针对泄漏中毒特效及泄漏着火特效动画，选出合适的安全技术措施。</w:t>
            </w:r>
          </w:p>
          <w:p w14:paraId="5988847C">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7.要求投标人现场演示－轻量化资源-精馏塔单元事故处理。</w:t>
            </w:r>
          </w:p>
          <w:p w14:paraId="3F2EEA63">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要求演示电脑端、手机端多端联动，电脑端教师后台发布精馏塔单元事故处理二维码，手机端通过扫描资源二维码，进行交互内容操作，内容如下：</w:t>
            </w:r>
          </w:p>
          <w:p w14:paraId="47D7F4EE">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1）要求支持手机端对DCS画面中的阀门开度、控制器设定值、手动、自动切换等核心操作进行调节。操作界面可以进行DCS画面和现场图画面实时切换。</w:t>
            </w:r>
          </w:p>
          <w:p w14:paraId="49650CF3">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2）要求内置数学模型控制，演示依据操作指令进行精确计算与动态调节：DCS界面温度、压力、流量、液位等关键工艺参数依据多变量控制模型实时响应。手机端调节任一参数（如进料量、回流量、塔釜蒸汽等），数学模型即同步解算并驱动全流程参数联动变化。</w:t>
            </w:r>
          </w:p>
          <w:p w14:paraId="10344002">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3）要求手机端操作设置独立虚拟数字键盘，当操作需要输入数值参数时，系统自动弹出数字键盘，支持直接点击输入。</w:t>
            </w:r>
          </w:p>
          <w:p w14:paraId="2AC58B71">
            <w:pPr>
              <w:keepNext w:val="0"/>
              <w:keepLines w:val="0"/>
              <w:pageBreakBefore w:val="0"/>
              <w:widowControl/>
              <w:kinsoku/>
              <w:wordWrap/>
              <w:overflowPunct/>
              <w:topLinePunct w:val="0"/>
              <w:bidi w:val="0"/>
              <w:adjustRightInd/>
              <w:spacing w:line="360" w:lineRule="exact"/>
              <w:textAlignment w:val="auto"/>
              <w:rPr>
                <w:rFonts w:hint="default"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4）演示界面设置评分菜单，点击查看详细评分规则；系统根据学员操作情况进行自动评判，实时给出操作得分，任务提交后，在电脑教师端后台实时显示当前操作成绩。</w:t>
            </w:r>
          </w:p>
          <w:p w14:paraId="6C11D48C">
            <w:pPr>
              <w:keepNext w:val="0"/>
              <w:keepLines w:val="0"/>
              <w:pageBreakBefore w:val="0"/>
              <w:widowControl/>
              <w:kinsoku/>
              <w:wordWrap/>
              <w:overflowPunct/>
              <w:topLinePunct w:val="0"/>
              <w:bidi w:val="0"/>
              <w:adjustRightInd/>
              <w:spacing w:line="360" w:lineRule="exact"/>
              <w:textAlignment w:val="auto"/>
              <w:rPr>
                <w:rFonts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三、评分标准</w:t>
            </w:r>
          </w:p>
          <w:p w14:paraId="39C0162D">
            <w:pPr>
              <w:keepNext w:val="0"/>
              <w:keepLines w:val="0"/>
              <w:pageBreakBefore w:val="0"/>
              <w:widowControl/>
              <w:kinsoku/>
              <w:wordWrap/>
              <w:overflowPunct/>
              <w:topLinePunct w:val="0"/>
              <w:bidi w:val="0"/>
              <w:adjustRightInd/>
              <w:spacing w:line="360" w:lineRule="exact"/>
              <w:textAlignment w:val="auto"/>
              <w:rPr>
                <w:rFonts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每项演示内容完整实现且符合附件1参数要求的得</w:t>
            </w:r>
            <w:r>
              <w:rPr>
                <w:rFonts w:hint="eastAsia" w:ascii="宋体" w:hAnsi="宋体" w:eastAsia="宋体" w:cs="仿宋"/>
                <w:color w:val="auto"/>
                <w:sz w:val="24"/>
                <w:szCs w:val="24"/>
                <w:highlight w:val="none"/>
                <w:lang w:val="en-US" w:eastAsia="zh-CN" w:bidi="ar-SA"/>
              </w:rPr>
              <w:t>1.5</w:t>
            </w:r>
            <w:r>
              <w:rPr>
                <w:rFonts w:hint="eastAsia" w:ascii="宋体" w:hAnsi="宋体" w:eastAsia="宋体" w:cs="仿宋"/>
                <w:color w:val="auto"/>
                <w:sz w:val="24"/>
                <w:szCs w:val="24"/>
                <w:highlight w:val="none"/>
                <w:lang w:val="zh-TW" w:eastAsia="zh-CN" w:bidi="ar-SA"/>
              </w:rPr>
              <w:t>分；未演示或不符合要求的不得分。</w:t>
            </w:r>
          </w:p>
        </w:tc>
      </w:tr>
      <w:tr w14:paraId="0B1C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6" w:type="dxa"/>
            <w:vAlign w:val="center"/>
          </w:tcPr>
          <w:p w14:paraId="5D00A0EA">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color w:val="auto"/>
                <w:position w:val="8"/>
                <w:sz w:val="24"/>
                <w:szCs w:val="24"/>
              </w:rPr>
            </w:pPr>
            <w:r>
              <w:rPr>
                <w:rFonts w:hint="eastAsia" w:ascii="宋体" w:hAnsi="宋体" w:eastAsia="宋体" w:cs="宋体"/>
                <w:color w:val="auto"/>
                <w:position w:val="8"/>
                <w:sz w:val="24"/>
                <w:szCs w:val="24"/>
              </w:rPr>
              <w:t>2</w:t>
            </w:r>
          </w:p>
        </w:tc>
        <w:tc>
          <w:tcPr>
            <w:tcW w:w="1135" w:type="dxa"/>
            <w:vAlign w:val="center"/>
          </w:tcPr>
          <w:p w14:paraId="46CCCA46">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kern w:val="2"/>
                <w:sz w:val="24"/>
                <w:szCs w:val="24"/>
                <w:lang w:eastAsia="zh-TW"/>
              </w:rPr>
            </w:pPr>
            <w:r>
              <w:rPr>
                <w:rFonts w:hint="eastAsia" w:asciiTheme="majorEastAsia" w:hAnsiTheme="majorEastAsia" w:eastAsiaTheme="majorEastAsia"/>
                <w:color w:val="auto"/>
                <w:sz w:val="24"/>
                <w:szCs w:val="24"/>
              </w:rPr>
              <w:t>技术要求</w:t>
            </w:r>
          </w:p>
        </w:tc>
        <w:tc>
          <w:tcPr>
            <w:tcW w:w="724" w:type="dxa"/>
            <w:vAlign w:val="center"/>
          </w:tcPr>
          <w:p w14:paraId="4DC0A721">
            <w:r>
              <w:rPr>
                <w:rFonts w:hint="eastAsia"/>
                <w:lang w:val="en-US" w:eastAsia="zh-CN"/>
              </w:rPr>
              <w:t>30.5分</w:t>
            </w:r>
          </w:p>
        </w:tc>
        <w:tc>
          <w:tcPr>
            <w:tcW w:w="7345" w:type="dxa"/>
            <w:vAlign w:val="center"/>
          </w:tcPr>
          <w:p w14:paraId="3DB72E35">
            <w:pPr>
              <w:keepNext w:val="0"/>
              <w:keepLines w:val="0"/>
              <w:pageBreakBefore w:val="0"/>
              <w:widowControl/>
              <w:kinsoku/>
              <w:wordWrap/>
              <w:overflowPunct/>
              <w:topLinePunct w:val="0"/>
              <w:bidi w:val="0"/>
              <w:adjustRightInd/>
              <w:spacing w:line="360" w:lineRule="exact"/>
              <w:textAlignment w:val="auto"/>
              <w:rPr>
                <w:rFonts w:ascii="宋体" w:hAnsi="宋体" w:cs="宋体"/>
                <w:color w:val="auto"/>
                <w:kern w:val="2"/>
              </w:rPr>
            </w:pPr>
            <w:r>
              <w:rPr>
                <w:rFonts w:hint="eastAsia" w:ascii="宋体" w:hAnsi="宋体" w:eastAsia="宋体" w:cs="仿宋"/>
                <w:color w:val="auto"/>
                <w:sz w:val="24"/>
                <w:szCs w:val="24"/>
                <w:highlight w:val="none"/>
                <w:lang w:val="en-US" w:eastAsia="zh-CN" w:bidi="ar-SA"/>
              </w:rPr>
              <w:t>完全满足招标文件技术参数得30.5分；带▲项为关键参数，每1项负偏离扣3分；一般参数每1项负偏离扣1.5分，扣完为止。未提供佐证材料视为负偏离；提供虚假材料按无效投标处理。</w:t>
            </w:r>
          </w:p>
        </w:tc>
      </w:tr>
      <w:tr w14:paraId="3668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896" w:type="dxa"/>
            <w:vAlign w:val="center"/>
          </w:tcPr>
          <w:p w14:paraId="2AE02DF7">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position w:val="8"/>
                <w:sz w:val="24"/>
                <w:szCs w:val="24"/>
                <w:lang w:eastAsia="zh-CN"/>
              </w:rPr>
            </w:pPr>
            <w:r>
              <w:rPr>
                <w:rFonts w:hint="eastAsia" w:ascii="宋体" w:hAnsi="宋体" w:eastAsia="宋体" w:cs="宋体"/>
                <w:color w:val="auto"/>
                <w:sz w:val="24"/>
                <w:szCs w:val="24"/>
                <w:lang w:eastAsia="zh-CN"/>
              </w:rPr>
              <w:t>3</w:t>
            </w:r>
          </w:p>
        </w:tc>
        <w:tc>
          <w:tcPr>
            <w:tcW w:w="1135" w:type="dxa"/>
            <w:vAlign w:val="center"/>
          </w:tcPr>
          <w:p w14:paraId="02200936">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TW"/>
              </w:rPr>
            </w:pPr>
            <w:r>
              <w:rPr>
                <w:rFonts w:hint="eastAsia" w:cs="宋体" w:asciiTheme="majorEastAsia" w:hAnsiTheme="majorEastAsia" w:eastAsiaTheme="majorEastAsia"/>
                <w:color w:val="auto"/>
                <w:sz w:val="24"/>
                <w:szCs w:val="24"/>
              </w:rPr>
              <w:t>项目实施方案</w:t>
            </w:r>
          </w:p>
        </w:tc>
        <w:tc>
          <w:tcPr>
            <w:tcW w:w="724" w:type="dxa"/>
            <w:vAlign w:val="center"/>
          </w:tcPr>
          <w:p w14:paraId="4FB42B16">
            <w:pPr>
              <w:rPr>
                <w:rFonts w:ascii="宋体" w:hAnsi="宋体" w:eastAsia="宋体" w:cs="宋体"/>
                <w:color w:val="auto"/>
                <w:sz w:val="24"/>
                <w:szCs w:val="24"/>
                <w:lang w:eastAsia="zh-CN"/>
              </w:rPr>
            </w:pPr>
            <w:r>
              <w:rPr>
                <w:rFonts w:hint="eastAsia"/>
                <w:lang w:val="en-US" w:eastAsia="zh-CN"/>
              </w:rPr>
              <w:t>10分</w:t>
            </w:r>
          </w:p>
        </w:tc>
        <w:tc>
          <w:tcPr>
            <w:tcW w:w="7345" w:type="dxa"/>
            <w:vAlign w:val="center"/>
          </w:tcPr>
          <w:p w14:paraId="226D7283">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1.优秀（</w:t>
            </w:r>
            <w:r>
              <w:rPr>
                <w:rFonts w:hint="eastAsia" w:ascii="宋体" w:hAnsi="宋体" w:eastAsia="宋体" w:cs="仿宋"/>
                <w:color w:val="auto"/>
                <w:sz w:val="24"/>
                <w:szCs w:val="24"/>
                <w:highlight w:val="none"/>
                <w:lang w:val="en-US" w:eastAsia="zh-CN" w:bidi="ar-SA"/>
              </w:rPr>
              <w:t>8</w:t>
            </w:r>
            <w:r>
              <w:rPr>
                <w:rFonts w:hint="eastAsia" w:ascii="宋体" w:hAnsi="宋体" w:eastAsia="宋体" w:cs="仿宋"/>
                <w:color w:val="auto"/>
                <w:sz w:val="24"/>
                <w:szCs w:val="24"/>
                <w:highlight w:val="none"/>
                <w:lang w:val="zh-TW" w:eastAsia="zh-CN" w:bidi="ar-SA"/>
              </w:rPr>
              <w:t>—</w:t>
            </w:r>
            <w:r>
              <w:rPr>
                <w:rFonts w:hint="eastAsia" w:ascii="宋体" w:hAnsi="宋体" w:eastAsia="宋体" w:cs="仿宋"/>
                <w:color w:val="auto"/>
                <w:sz w:val="24"/>
                <w:szCs w:val="24"/>
                <w:highlight w:val="none"/>
                <w:lang w:val="en-US" w:eastAsia="zh-CN" w:bidi="ar-SA"/>
              </w:rPr>
              <w:t>10</w:t>
            </w:r>
            <w:r>
              <w:rPr>
                <w:rFonts w:hint="eastAsia" w:ascii="宋体" w:hAnsi="宋体" w:eastAsia="宋体" w:cs="仿宋"/>
                <w:color w:val="auto"/>
                <w:sz w:val="24"/>
                <w:szCs w:val="24"/>
                <w:highlight w:val="none"/>
                <w:lang w:val="zh-TW" w:eastAsia="zh-CN" w:bidi="ar-SA"/>
              </w:rPr>
              <w:t>分）：方案内容完整、针对性强，开发内容覆盖、技术路线、实施进度、质量保障及风险应对等要素齐全，与附件1采购需求高度契合；</w:t>
            </w:r>
          </w:p>
          <w:p w14:paraId="6862657A">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2.良好（</w:t>
            </w:r>
            <w:r>
              <w:rPr>
                <w:rFonts w:hint="eastAsia" w:ascii="宋体" w:hAnsi="宋体" w:eastAsia="宋体" w:cs="仿宋"/>
                <w:color w:val="auto"/>
                <w:sz w:val="24"/>
                <w:szCs w:val="24"/>
                <w:highlight w:val="none"/>
                <w:lang w:val="en-US" w:eastAsia="zh-CN" w:bidi="ar-SA"/>
              </w:rPr>
              <w:t>5</w:t>
            </w:r>
            <w:r>
              <w:rPr>
                <w:rFonts w:hint="eastAsia" w:ascii="宋体" w:hAnsi="宋体" w:eastAsia="宋体" w:cs="仿宋"/>
                <w:color w:val="auto"/>
                <w:sz w:val="24"/>
                <w:szCs w:val="24"/>
                <w:highlight w:val="none"/>
                <w:lang w:val="zh-TW" w:eastAsia="zh-CN" w:bidi="ar-SA"/>
              </w:rPr>
              <w:t>—</w:t>
            </w:r>
            <w:r>
              <w:rPr>
                <w:rFonts w:hint="eastAsia" w:ascii="宋体" w:hAnsi="宋体" w:eastAsia="宋体" w:cs="仿宋"/>
                <w:color w:val="auto"/>
                <w:sz w:val="24"/>
                <w:szCs w:val="24"/>
                <w:highlight w:val="none"/>
                <w:lang w:val="en-US" w:eastAsia="zh-CN" w:bidi="ar-SA"/>
              </w:rPr>
              <w:t>7</w:t>
            </w:r>
            <w:r>
              <w:rPr>
                <w:rFonts w:hint="eastAsia" w:ascii="宋体" w:hAnsi="宋体" w:eastAsia="宋体" w:cs="仿宋"/>
                <w:color w:val="auto"/>
                <w:sz w:val="24"/>
                <w:szCs w:val="24"/>
                <w:highlight w:val="none"/>
                <w:lang w:val="zh-TW" w:eastAsia="zh-CN" w:bidi="ar-SA"/>
              </w:rPr>
              <w:t>分）：方案较完整，上述要素基本齐全，与采购需求基本契合；</w:t>
            </w:r>
          </w:p>
          <w:p w14:paraId="00A3E323">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3.一般</w:t>
            </w:r>
            <w:r>
              <w:rPr>
                <w:rFonts w:hint="eastAsia" w:ascii="宋体" w:hAnsi="宋体" w:eastAsia="宋体" w:cs="仿宋"/>
                <w:b w:val="0"/>
                <w:bCs w:val="0"/>
                <w:color w:val="auto"/>
                <w:sz w:val="24"/>
                <w:szCs w:val="24"/>
                <w:highlight w:val="none"/>
                <w:lang w:val="zh-TW" w:eastAsia="zh-CN" w:bidi="ar-SA"/>
              </w:rPr>
              <w:t>（</w:t>
            </w:r>
            <w:r>
              <w:rPr>
                <w:rFonts w:hint="eastAsia" w:ascii="宋体" w:hAnsi="宋体" w:eastAsia="宋体" w:cs="仿宋"/>
                <w:b w:val="0"/>
                <w:bCs w:val="0"/>
                <w:color w:val="auto"/>
                <w:sz w:val="24"/>
                <w:szCs w:val="24"/>
                <w:highlight w:val="none"/>
                <w:lang w:val="en-US" w:eastAsia="zh-CN" w:bidi="ar-SA"/>
              </w:rPr>
              <w:t>1</w:t>
            </w:r>
            <w:r>
              <w:rPr>
                <w:rFonts w:hint="eastAsia" w:ascii="宋体" w:hAnsi="宋体" w:eastAsia="宋体" w:cs="仿宋"/>
                <w:b w:val="0"/>
                <w:bCs w:val="0"/>
                <w:color w:val="auto"/>
                <w:sz w:val="24"/>
                <w:szCs w:val="24"/>
                <w:highlight w:val="none"/>
                <w:lang w:val="zh-TW" w:eastAsia="zh-CN" w:bidi="ar-SA"/>
              </w:rPr>
              <w:t>—</w:t>
            </w:r>
            <w:r>
              <w:rPr>
                <w:rFonts w:hint="eastAsia" w:ascii="宋体" w:hAnsi="宋体" w:eastAsia="宋体" w:cs="仿宋"/>
                <w:b w:val="0"/>
                <w:bCs w:val="0"/>
                <w:color w:val="auto"/>
                <w:sz w:val="24"/>
                <w:szCs w:val="24"/>
                <w:highlight w:val="none"/>
                <w:lang w:val="en-US" w:eastAsia="zh-CN" w:bidi="ar-SA"/>
              </w:rPr>
              <w:t>4</w:t>
            </w:r>
            <w:r>
              <w:rPr>
                <w:rFonts w:hint="eastAsia" w:ascii="宋体" w:hAnsi="宋体" w:eastAsia="宋体" w:cs="仿宋"/>
                <w:b w:val="0"/>
                <w:bCs w:val="0"/>
                <w:color w:val="auto"/>
                <w:sz w:val="24"/>
                <w:szCs w:val="24"/>
                <w:highlight w:val="none"/>
                <w:lang w:val="zh-TW" w:eastAsia="zh-CN" w:bidi="ar-SA"/>
              </w:rPr>
              <w:t>分）</w:t>
            </w:r>
            <w:r>
              <w:rPr>
                <w:rFonts w:hint="eastAsia" w:ascii="宋体" w:hAnsi="宋体" w:eastAsia="宋体" w:cs="仿宋"/>
                <w:color w:val="auto"/>
                <w:sz w:val="24"/>
                <w:szCs w:val="24"/>
                <w:highlight w:val="none"/>
                <w:lang w:val="zh-TW" w:eastAsia="zh-CN" w:bidi="ar-SA"/>
              </w:rPr>
              <w:t>：方案内容简单或要素不齐全，针对性不强；</w:t>
            </w:r>
          </w:p>
          <w:p w14:paraId="7D58C2A4">
            <w:pPr>
              <w:keepNext w:val="0"/>
              <w:keepLines w:val="0"/>
              <w:pageBreakBefore w:val="0"/>
              <w:widowControl/>
              <w:kinsoku/>
              <w:wordWrap/>
              <w:overflowPunct/>
              <w:topLinePunct w:val="0"/>
              <w:bidi w:val="0"/>
              <w:adjustRightInd/>
              <w:spacing w:line="360" w:lineRule="exact"/>
              <w:textAlignment w:val="auto"/>
              <w:rPr>
                <w:rFonts w:cs="宋体" w:asciiTheme="majorEastAsia" w:hAnsiTheme="majorEastAsia" w:eastAsiaTheme="majorEastAsia"/>
                <w:color w:val="auto"/>
                <w:sz w:val="24"/>
                <w:szCs w:val="24"/>
                <w:lang w:eastAsia="zh-CN"/>
              </w:rPr>
            </w:pPr>
            <w:r>
              <w:rPr>
                <w:rFonts w:hint="eastAsia" w:ascii="宋体" w:hAnsi="宋体" w:eastAsia="宋体" w:cs="仿宋"/>
                <w:color w:val="auto"/>
                <w:sz w:val="24"/>
                <w:szCs w:val="24"/>
                <w:highlight w:val="none"/>
                <w:lang w:val="zh-TW" w:eastAsia="zh-CN" w:bidi="ar-SA"/>
              </w:rPr>
              <w:t>4.未提供或与采购需求无关的，不得分。</w:t>
            </w:r>
          </w:p>
        </w:tc>
      </w:tr>
      <w:tr w14:paraId="407B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896" w:type="dxa"/>
            <w:vAlign w:val="center"/>
          </w:tcPr>
          <w:p w14:paraId="4A03197F">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1135" w:type="dxa"/>
            <w:vAlign w:val="center"/>
          </w:tcPr>
          <w:p w14:paraId="2561EBDF">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CN"/>
              </w:rPr>
            </w:pPr>
            <w:r>
              <w:rPr>
                <w:rFonts w:hint="eastAsia" w:cs="宋体" w:asciiTheme="majorEastAsia" w:hAnsiTheme="majorEastAsia" w:eastAsiaTheme="majorEastAsia"/>
                <w:color w:val="auto"/>
                <w:sz w:val="24"/>
                <w:szCs w:val="24"/>
              </w:rPr>
              <w:t>售后服务</w:t>
            </w:r>
          </w:p>
        </w:tc>
        <w:tc>
          <w:tcPr>
            <w:tcW w:w="724" w:type="dxa"/>
            <w:vAlign w:val="center"/>
          </w:tcPr>
          <w:p w14:paraId="2F6854C8">
            <w:r>
              <w:rPr>
                <w:rFonts w:hint="eastAsia"/>
                <w:lang w:val="en-US" w:eastAsia="zh-CN"/>
              </w:rPr>
              <w:t>5分</w:t>
            </w:r>
          </w:p>
        </w:tc>
        <w:tc>
          <w:tcPr>
            <w:tcW w:w="7345" w:type="dxa"/>
            <w:vAlign w:val="center"/>
          </w:tcPr>
          <w:p w14:paraId="3E95F892">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1.优秀（4—5分）：售后服务体系健全，服务期限、安装调试、技术资料、响应及运维保障等承诺明确具体，服务流程规范；</w:t>
            </w:r>
          </w:p>
          <w:p w14:paraId="04FA04D6">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2.良好（2—3分）：售后服务方案较完善，上述内容基本明确；</w:t>
            </w:r>
          </w:p>
          <w:p w14:paraId="7BAE41E3">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en-US" w:eastAsia="zh-CN" w:bidi="ar-SA"/>
              </w:rPr>
            </w:pPr>
            <w:r>
              <w:rPr>
                <w:rFonts w:hint="eastAsia" w:ascii="宋体" w:hAnsi="宋体" w:eastAsia="宋体" w:cs="仿宋"/>
                <w:color w:val="auto"/>
                <w:sz w:val="24"/>
                <w:szCs w:val="24"/>
                <w:highlight w:val="none"/>
                <w:lang w:val="en-US" w:eastAsia="zh-CN" w:bidi="ar-SA"/>
              </w:rPr>
              <w:t>3.一般（0—1分）：具备基本售后服务能力，内容较简略；</w:t>
            </w:r>
          </w:p>
          <w:p w14:paraId="60AADAE3">
            <w:pPr>
              <w:keepNext w:val="0"/>
              <w:keepLines w:val="0"/>
              <w:pageBreakBefore w:val="0"/>
              <w:widowControl/>
              <w:kinsoku/>
              <w:wordWrap/>
              <w:overflowPunct/>
              <w:topLinePunct w:val="0"/>
              <w:bidi w:val="0"/>
              <w:adjustRightInd/>
              <w:spacing w:line="360" w:lineRule="exact"/>
              <w:textAlignment w:val="auto"/>
              <w:rPr>
                <w:rFonts w:cs="宋体" w:asciiTheme="majorEastAsia" w:hAnsiTheme="majorEastAsia" w:eastAsiaTheme="majorEastAsia"/>
                <w:color w:val="auto"/>
                <w:sz w:val="24"/>
                <w:szCs w:val="24"/>
                <w:lang w:eastAsia="zh-CN"/>
              </w:rPr>
            </w:pPr>
            <w:r>
              <w:rPr>
                <w:rFonts w:hint="eastAsia" w:ascii="宋体" w:hAnsi="宋体" w:eastAsia="宋体" w:cs="仿宋"/>
                <w:color w:val="auto"/>
                <w:sz w:val="24"/>
                <w:szCs w:val="24"/>
                <w:highlight w:val="none"/>
                <w:lang w:val="en-US" w:eastAsia="zh-CN" w:bidi="ar-SA"/>
              </w:rPr>
              <w:t>4.未提供或与采购需求无关的，不得分</w:t>
            </w:r>
            <w:r>
              <w:rPr>
                <w:rFonts w:ascii="宋体" w:hAnsi="宋体" w:eastAsia="宋体"/>
                <w:sz w:val="21"/>
              </w:rPr>
              <w:t>。</w:t>
            </w:r>
          </w:p>
        </w:tc>
      </w:tr>
      <w:tr w14:paraId="108F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896" w:type="dxa"/>
            <w:vAlign w:val="center"/>
          </w:tcPr>
          <w:p w14:paraId="14906739">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135" w:type="dxa"/>
            <w:vAlign w:val="center"/>
          </w:tcPr>
          <w:p w14:paraId="02D4A883">
            <w:pPr>
              <w:keepNext w:val="0"/>
              <w:keepLines w:val="0"/>
              <w:pageBreakBefore w:val="0"/>
              <w:kinsoku/>
              <w:wordWrap/>
              <w:overflowPunct/>
              <w:topLinePunct w:val="0"/>
              <w:bidi w:val="0"/>
              <w:adjustRightInd/>
              <w:snapToGrid w:val="0"/>
              <w:spacing w:line="360" w:lineRule="exact"/>
              <w:jc w:val="center"/>
              <w:textAlignment w:val="auto"/>
              <w:rPr>
                <w:rFonts w:cs="宋体" w:asciiTheme="majorEastAsia" w:hAnsiTheme="majorEastAsia" w:eastAsiaTheme="majorEastAsia"/>
                <w:color w:val="auto"/>
                <w:sz w:val="24"/>
                <w:szCs w:val="24"/>
                <w:lang w:eastAsia="zh-CN"/>
              </w:rPr>
            </w:pPr>
            <w:r>
              <w:rPr>
                <w:rFonts w:hint="eastAsia" w:cs="宋体" w:asciiTheme="majorEastAsia" w:hAnsiTheme="majorEastAsia" w:eastAsiaTheme="majorEastAsia"/>
                <w:color w:val="auto"/>
                <w:sz w:val="24"/>
                <w:szCs w:val="24"/>
                <w:lang w:eastAsia="zh-CN"/>
              </w:rPr>
              <w:t>培训服务</w:t>
            </w:r>
          </w:p>
        </w:tc>
        <w:tc>
          <w:tcPr>
            <w:tcW w:w="724" w:type="dxa"/>
            <w:vAlign w:val="center"/>
          </w:tcPr>
          <w:p w14:paraId="130A4CC7">
            <w:r>
              <w:rPr>
                <w:rFonts w:hint="eastAsia"/>
                <w:lang w:val="en-US" w:eastAsia="zh-CN"/>
              </w:rPr>
              <w:t>5分</w:t>
            </w:r>
          </w:p>
        </w:tc>
        <w:tc>
          <w:tcPr>
            <w:tcW w:w="7345" w:type="dxa"/>
            <w:vAlign w:val="center"/>
          </w:tcPr>
          <w:p w14:paraId="36A9B3E0">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1.优秀（</w:t>
            </w:r>
            <w:r>
              <w:rPr>
                <w:rFonts w:hint="eastAsia" w:ascii="宋体" w:hAnsi="宋体" w:eastAsia="宋体" w:cs="仿宋"/>
                <w:color w:val="auto"/>
                <w:sz w:val="24"/>
                <w:szCs w:val="24"/>
                <w:highlight w:val="none"/>
                <w:lang w:val="en-US" w:eastAsia="zh-CN" w:bidi="ar-SA"/>
              </w:rPr>
              <w:t>4</w:t>
            </w:r>
            <w:r>
              <w:rPr>
                <w:rFonts w:hint="eastAsia" w:ascii="宋体" w:hAnsi="宋体" w:eastAsia="宋体" w:cs="仿宋"/>
                <w:color w:val="auto"/>
                <w:sz w:val="24"/>
                <w:szCs w:val="24"/>
                <w:highlight w:val="none"/>
                <w:lang w:val="zh-TW" w:eastAsia="zh-CN" w:bidi="ar-SA"/>
              </w:rPr>
              <w:t>—</w:t>
            </w:r>
            <w:r>
              <w:rPr>
                <w:rFonts w:hint="eastAsia" w:ascii="宋体" w:hAnsi="宋体" w:eastAsia="宋体" w:cs="仿宋"/>
                <w:color w:val="auto"/>
                <w:sz w:val="24"/>
                <w:szCs w:val="24"/>
                <w:highlight w:val="none"/>
                <w:lang w:val="en-US" w:eastAsia="zh-CN" w:bidi="ar-SA"/>
              </w:rPr>
              <w:t>5</w:t>
            </w:r>
            <w:r>
              <w:rPr>
                <w:rFonts w:hint="eastAsia" w:ascii="宋体" w:hAnsi="宋体" w:eastAsia="宋体" w:cs="仿宋"/>
                <w:color w:val="auto"/>
                <w:sz w:val="24"/>
                <w:szCs w:val="24"/>
                <w:highlight w:val="none"/>
                <w:lang w:val="zh-TW" w:eastAsia="zh-CN" w:bidi="ar-SA"/>
              </w:rPr>
              <w:t>分）：培训方案完整，培训对象、培训内容、培训方式及时间、培训资料与考核等安排明确具体，与项目实施及账号配置相契合；</w:t>
            </w:r>
          </w:p>
          <w:p w14:paraId="3D5E5AB5">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2.良好（</w:t>
            </w:r>
            <w:r>
              <w:rPr>
                <w:rFonts w:hint="eastAsia" w:ascii="宋体" w:hAnsi="宋体" w:eastAsia="宋体" w:cs="仿宋"/>
                <w:color w:val="auto"/>
                <w:sz w:val="24"/>
                <w:szCs w:val="24"/>
                <w:highlight w:val="none"/>
                <w:lang w:val="en-US" w:eastAsia="zh-CN" w:bidi="ar-SA"/>
              </w:rPr>
              <w:t>2</w:t>
            </w:r>
            <w:r>
              <w:rPr>
                <w:rFonts w:hint="eastAsia" w:ascii="宋体" w:hAnsi="宋体" w:eastAsia="宋体" w:cs="仿宋"/>
                <w:color w:val="auto"/>
                <w:sz w:val="24"/>
                <w:szCs w:val="24"/>
                <w:highlight w:val="none"/>
                <w:lang w:val="zh-TW" w:eastAsia="zh-CN" w:bidi="ar-SA"/>
              </w:rPr>
              <w:t>—</w:t>
            </w:r>
            <w:r>
              <w:rPr>
                <w:rFonts w:hint="eastAsia" w:ascii="宋体" w:hAnsi="宋体" w:eastAsia="宋体" w:cs="仿宋"/>
                <w:color w:val="auto"/>
                <w:sz w:val="24"/>
                <w:szCs w:val="24"/>
                <w:highlight w:val="none"/>
                <w:lang w:val="en-US" w:eastAsia="zh-CN" w:bidi="ar-SA"/>
              </w:rPr>
              <w:t>3</w:t>
            </w:r>
            <w:r>
              <w:rPr>
                <w:rFonts w:hint="eastAsia" w:ascii="宋体" w:hAnsi="宋体" w:eastAsia="宋体" w:cs="仿宋"/>
                <w:color w:val="auto"/>
                <w:sz w:val="24"/>
                <w:szCs w:val="24"/>
                <w:highlight w:val="none"/>
                <w:lang w:val="zh-TW" w:eastAsia="zh-CN" w:bidi="ar-SA"/>
              </w:rPr>
              <w:t>分）：培训方案较完整，上述内容基本明确；</w:t>
            </w:r>
          </w:p>
          <w:p w14:paraId="081CB0C6">
            <w:pPr>
              <w:keepNext w:val="0"/>
              <w:keepLines w:val="0"/>
              <w:pageBreakBefore w:val="0"/>
              <w:widowControl/>
              <w:kinsoku/>
              <w:wordWrap/>
              <w:overflowPunct/>
              <w:topLinePunct w:val="0"/>
              <w:bidi w:val="0"/>
              <w:adjustRightInd/>
              <w:spacing w:line="360" w:lineRule="exact"/>
              <w:textAlignment w:val="auto"/>
              <w:rPr>
                <w:rFonts w:hint="eastAsia" w:ascii="宋体" w:hAnsi="宋体" w:eastAsia="宋体" w:cs="仿宋"/>
                <w:color w:val="auto"/>
                <w:sz w:val="24"/>
                <w:szCs w:val="24"/>
                <w:highlight w:val="none"/>
                <w:lang w:val="zh-TW" w:eastAsia="zh-CN" w:bidi="ar-SA"/>
              </w:rPr>
            </w:pPr>
            <w:r>
              <w:rPr>
                <w:rFonts w:hint="eastAsia" w:ascii="宋体" w:hAnsi="宋体" w:eastAsia="宋体" w:cs="仿宋"/>
                <w:color w:val="auto"/>
                <w:sz w:val="24"/>
                <w:szCs w:val="24"/>
                <w:highlight w:val="none"/>
                <w:lang w:val="zh-TW" w:eastAsia="zh-CN" w:bidi="ar-SA"/>
              </w:rPr>
              <w:t>3.一般（0—</w:t>
            </w:r>
            <w:r>
              <w:rPr>
                <w:rFonts w:hint="eastAsia" w:ascii="宋体" w:hAnsi="宋体" w:eastAsia="宋体" w:cs="仿宋"/>
                <w:color w:val="auto"/>
                <w:sz w:val="24"/>
                <w:szCs w:val="24"/>
                <w:highlight w:val="none"/>
                <w:lang w:val="en-US" w:eastAsia="zh-CN" w:bidi="ar-SA"/>
              </w:rPr>
              <w:t>1</w:t>
            </w:r>
            <w:r>
              <w:rPr>
                <w:rFonts w:hint="eastAsia" w:ascii="宋体" w:hAnsi="宋体" w:eastAsia="宋体" w:cs="仿宋"/>
                <w:color w:val="auto"/>
                <w:sz w:val="24"/>
                <w:szCs w:val="24"/>
                <w:highlight w:val="none"/>
                <w:lang w:val="zh-TW" w:eastAsia="zh-CN" w:bidi="ar-SA"/>
              </w:rPr>
              <w:t>分）：培训方案简单，内容不具体；</w:t>
            </w:r>
          </w:p>
          <w:p w14:paraId="4368CFE0">
            <w:pPr>
              <w:keepNext w:val="0"/>
              <w:keepLines w:val="0"/>
              <w:pageBreakBefore w:val="0"/>
              <w:widowControl/>
              <w:kinsoku/>
              <w:wordWrap/>
              <w:overflowPunct/>
              <w:topLinePunct w:val="0"/>
              <w:bidi w:val="0"/>
              <w:adjustRightInd/>
              <w:spacing w:line="360" w:lineRule="exact"/>
              <w:textAlignment w:val="auto"/>
              <w:rPr>
                <w:rFonts w:asciiTheme="majorEastAsia" w:hAnsiTheme="majorEastAsia" w:eastAsiaTheme="majorEastAsia"/>
                <w:color w:val="auto"/>
                <w:sz w:val="24"/>
                <w:szCs w:val="24"/>
                <w:lang w:eastAsia="zh-CN"/>
              </w:rPr>
            </w:pPr>
            <w:r>
              <w:rPr>
                <w:rFonts w:hint="eastAsia" w:ascii="宋体" w:hAnsi="宋体" w:eastAsia="宋体" w:cs="仿宋"/>
                <w:color w:val="auto"/>
                <w:sz w:val="24"/>
                <w:szCs w:val="24"/>
                <w:highlight w:val="none"/>
                <w:lang w:val="zh-TW" w:eastAsia="zh-CN" w:bidi="ar-SA"/>
              </w:rPr>
              <w:t>4.未提供或与采购需求无关的，不得分。</w:t>
            </w:r>
          </w:p>
        </w:tc>
      </w:tr>
      <w:tr w14:paraId="10BB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755" w:type="dxa"/>
            <w:gridSpan w:val="3"/>
            <w:vAlign w:val="center"/>
          </w:tcPr>
          <w:p w14:paraId="54785A24">
            <w:pPr>
              <w:keepNext w:val="0"/>
              <w:keepLines w:val="0"/>
              <w:pageBreakBefore w:val="0"/>
              <w:kinsoku/>
              <w:wordWrap/>
              <w:overflowPunct/>
              <w:topLinePunct w:val="0"/>
              <w:bidi w:val="0"/>
              <w:adjustRightInd/>
              <w:spacing w:line="360" w:lineRule="exact"/>
              <w:ind w:left="-57" w:leftChars="-26" w:right="-70" w:rightChars="-32"/>
              <w:jc w:val="center"/>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合计</w:t>
            </w:r>
          </w:p>
        </w:tc>
        <w:tc>
          <w:tcPr>
            <w:tcW w:w="7345" w:type="dxa"/>
            <w:vAlign w:val="center"/>
          </w:tcPr>
          <w:p w14:paraId="09448DB8">
            <w:pPr>
              <w:keepNext w:val="0"/>
              <w:keepLines w:val="0"/>
              <w:pageBreakBefore w:val="0"/>
              <w:kinsoku/>
              <w:wordWrap/>
              <w:overflowPunct/>
              <w:topLinePunct w:val="0"/>
              <w:bidi w:val="0"/>
              <w:adjustRightInd/>
              <w:spacing w:line="360" w:lineRule="exact"/>
              <w:ind w:left="-57" w:leftChars="-26" w:right="-70" w:rightChars="-32"/>
              <w:jc w:val="center"/>
              <w:textAlignment w:val="auto"/>
            </w:pPr>
            <w:r>
              <w:rPr>
                <w:rFonts w:hint="eastAsia" w:ascii="宋体" w:hAnsi="宋体" w:eastAsia="宋体" w:cs="宋体"/>
                <w:b/>
                <w:bCs/>
                <w:color w:val="auto"/>
                <w:sz w:val="24"/>
                <w:szCs w:val="24"/>
              </w:rPr>
              <w:t>技术分总计</w:t>
            </w:r>
            <w:r>
              <w:rPr>
                <w:rFonts w:hint="eastAsia" w:ascii="宋体" w:hAnsi="宋体" w:eastAsia="宋体" w:cs="宋体"/>
                <w:b/>
                <w:bCs/>
                <w:color w:val="auto"/>
                <w:sz w:val="24"/>
                <w:szCs w:val="24"/>
                <w:lang w:val="en-US" w:eastAsia="zh-CN"/>
              </w:rPr>
              <w:t>61</w:t>
            </w:r>
            <w:r>
              <w:rPr>
                <w:rFonts w:hint="eastAsia" w:ascii="宋体" w:hAnsi="宋体" w:eastAsia="宋体" w:cs="宋体"/>
                <w:b/>
                <w:bCs/>
                <w:color w:val="auto"/>
                <w:sz w:val="24"/>
                <w:szCs w:val="24"/>
              </w:rPr>
              <w:t>分</w:t>
            </w:r>
          </w:p>
        </w:tc>
      </w:tr>
    </w:tbl>
    <w:p w14:paraId="634A14D6">
      <w:pPr>
        <w:keepNext w:val="0"/>
        <w:keepLines w:val="0"/>
        <w:pageBreakBefore w:val="0"/>
        <w:kinsoku/>
        <w:wordWrap/>
        <w:overflowPunct/>
        <w:topLinePunct w:val="0"/>
        <w:bidi w:val="0"/>
        <w:adjustRightInd/>
        <w:spacing w:line="360" w:lineRule="exact"/>
        <w:textAlignment w:val="auto"/>
        <w:rPr>
          <w:rFonts w:hint="eastAsia" w:ascii="宋体" w:hAnsi="宋体" w:eastAsia="宋体" w:cs="宋体"/>
          <w:b/>
          <w:bCs/>
          <w:color w:val="auto"/>
          <w:sz w:val="24"/>
          <w:szCs w:val="24"/>
          <w:lang w:eastAsia="zh-CN"/>
        </w:rPr>
      </w:pPr>
    </w:p>
    <w:p w14:paraId="0D84F7B3">
      <w:pPr>
        <w:keepNext w:val="0"/>
        <w:keepLines w:val="0"/>
        <w:pageBreakBefore w:val="0"/>
        <w:kinsoku/>
        <w:wordWrap/>
        <w:overflowPunct/>
        <w:topLinePunct w:val="0"/>
        <w:bidi w:val="0"/>
        <w:adjustRightInd/>
        <w:spacing w:line="360" w:lineRule="exact"/>
        <w:textAlignment w:val="auto"/>
        <w:rPr>
          <w:rFonts w:hint="eastAsia" w:ascii="宋体" w:hAnsi="宋体" w:eastAsia="宋体" w:cs="宋体"/>
          <w:b/>
          <w:bCs/>
          <w:color w:val="auto"/>
          <w:sz w:val="24"/>
          <w:szCs w:val="24"/>
          <w:lang w:eastAsia="zh-CN"/>
        </w:rPr>
      </w:pPr>
    </w:p>
    <w:p w14:paraId="3F496453">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color w:val="auto"/>
          <w:sz w:val="32"/>
          <w:szCs w:val="32"/>
        </w:rPr>
      </w:pPr>
      <w:r>
        <w:rPr>
          <w:rFonts w:hint="eastAsia" w:ascii="宋体" w:hAnsi="宋体" w:eastAsia="宋体" w:cs="宋体"/>
          <w:b/>
          <w:bCs/>
          <w:color w:val="auto"/>
          <w:sz w:val="32"/>
          <w:szCs w:val="32"/>
          <w:lang w:eastAsia="zh-CN"/>
        </w:rPr>
        <w:t>（二）</w:t>
      </w:r>
      <w:r>
        <w:rPr>
          <w:rFonts w:hint="eastAsia" w:ascii="宋体" w:hAnsi="宋体" w:eastAsia="宋体" w:cs="宋体"/>
          <w:b/>
          <w:bCs/>
          <w:color w:val="auto"/>
          <w:sz w:val="32"/>
          <w:szCs w:val="32"/>
        </w:rPr>
        <w:t>商务评审表</w:t>
      </w:r>
    </w:p>
    <w:tbl>
      <w:tblPr>
        <w:tblStyle w:val="10"/>
        <w:tblW w:w="487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7"/>
        <w:gridCol w:w="1267"/>
        <w:gridCol w:w="716"/>
        <w:gridCol w:w="6430"/>
      </w:tblGrid>
      <w:tr w14:paraId="13441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exact"/>
          <w:tblHeader/>
          <w:jc w:val="center"/>
        </w:trPr>
        <w:tc>
          <w:tcPr>
            <w:tcW w:w="623" w:type="dxa"/>
            <w:tcBorders>
              <w:tl2br w:val="nil"/>
              <w:tr2bl w:val="nil"/>
            </w:tcBorders>
            <w:vAlign w:val="center"/>
          </w:tcPr>
          <w:p w14:paraId="09C914EF">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1"/>
                <w:szCs w:val="21"/>
              </w:rPr>
              <w:t>序号</w:t>
            </w:r>
          </w:p>
        </w:tc>
        <w:tc>
          <w:tcPr>
            <w:tcW w:w="1237" w:type="dxa"/>
            <w:tcBorders>
              <w:tl2br w:val="nil"/>
              <w:tr2bl w:val="nil"/>
            </w:tcBorders>
            <w:vAlign w:val="center"/>
          </w:tcPr>
          <w:p w14:paraId="5EF212F2">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评审项</w:t>
            </w:r>
          </w:p>
        </w:tc>
        <w:tc>
          <w:tcPr>
            <w:tcW w:w="700" w:type="dxa"/>
            <w:tcBorders>
              <w:tl2br w:val="nil"/>
              <w:tr2bl w:val="nil"/>
            </w:tcBorders>
            <w:vAlign w:val="center"/>
          </w:tcPr>
          <w:p w14:paraId="2997C330">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分值</w:t>
            </w:r>
          </w:p>
        </w:tc>
        <w:tc>
          <w:tcPr>
            <w:tcW w:w="6280" w:type="dxa"/>
            <w:tcBorders>
              <w:tl2br w:val="nil"/>
              <w:tr2bl w:val="nil"/>
            </w:tcBorders>
            <w:vAlign w:val="center"/>
          </w:tcPr>
          <w:p w14:paraId="6BD2E3F6">
            <w:pPr>
              <w:keepNext w:val="0"/>
              <w:keepLines w:val="0"/>
              <w:pageBreakBefore w:val="0"/>
              <w:kinsoku/>
              <w:wordWrap/>
              <w:overflowPunct/>
              <w:topLinePunct w:val="0"/>
              <w:bidi w:val="0"/>
              <w:adjustRightInd/>
              <w:spacing w:line="360" w:lineRule="exact"/>
              <w:ind w:left="41" w:leftChars="-195" w:hanging="470" w:hangingChars="195"/>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评审细则</w:t>
            </w:r>
          </w:p>
        </w:tc>
      </w:tr>
      <w:tr w14:paraId="52AE7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3" w:hRule="atLeast"/>
          <w:jc w:val="center"/>
        </w:trPr>
        <w:tc>
          <w:tcPr>
            <w:tcW w:w="623" w:type="dxa"/>
            <w:tcBorders>
              <w:tl2br w:val="nil"/>
              <w:tr2bl w:val="nil"/>
            </w:tcBorders>
            <w:vAlign w:val="center"/>
          </w:tcPr>
          <w:p w14:paraId="6C01FA7E">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rPr>
            </w:pPr>
            <w:r>
              <w:rPr>
                <w:rFonts w:hint="eastAsia" w:ascii="宋体" w:hAnsi="宋体" w:eastAsia="宋体" w:cs="宋体"/>
                <w:color w:val="auto"/>
                <w:sz w:val="24"/>
                <w:szCs w:val="24"/>
              </w:rPr>
              <w:t>1</w:t>
            </w:r>
          </w:p>
        </w:tc>
        <w:tc>
          <w:tcPr>
            <w:tcW w:w="1237" w:type="dxa"/>
            <w:tcBorders>
              <w:tl2br w:val="nil"/>
              <w:tr2bl w:val="nil"/>
            </w:tcBorders>
            <w:vAlign w:val="center"/>
          </w:tcPr>
          <w:p w14:paraId="455AC475">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CN"/>
              </w:rPr>
            </w:pPr>
            <w:r>
              <w:rPr>
                <w:rFonts w:hint="eastAsia" w:cs="宋体" w:asciiTheme="majorEastAsia" w:hAnsiTheme="majorEastAsia" w:eastAsiaTheme="majorEastAsia"/>
                <w:color w:val="auto"/>
                <w:lang w:eastAsia="zh-CN"/>
              </w:rPr>
              <w:t>综合</w:t>
            </w:r>
            <w:r>
              <w:rPr>
                <w:rFonts w:hint="eastAsia" w:cs="宋体" w:asciiTheme="majorEastAsia" w:hAnsiTheme="majorEastAsia" w:eastAsiaTheme="majorEastAsia"/>
                <w:color w:val="auto"/>
              </w:rPr>
              <w:t>实力</w:t>
            </w:r>
          </w:p>
        </w:tc>
        <w:tc>
          <w:tcPr>
            <w:tcW w:w="700" w:type="dxa"/>
            <w:tcBorders>
              <w:tl2br w:val="nil"/>
              <w:tr2bl w:val="nil"/>
            </w:tcBorders>
            <w:vAlign w:val="center"/>
          </w:tcPr>
          <w:p w14:paraId="3D6A6B33">
            <w:pPr>
              <w:rPr>
                <w:rFonts w:ascii="宋体" w:hAnsi="宋体" w:eastAsia="宋体" w:cs="宋体"/>
                <w:color w:val="auto"/>
                <w:sz w:val="24"/>
                <w:szCs w:val="24"/>
                <w:lang w:eastAsia="zh-CN"/>
              </w:rPr>
            </w:pPr>
            <w:r>
              <w:rPr>
                <w:rFonts w:hint="eastAsia"/>
                <w:lang w:val="en-US" w:eastAsia="zh-CN"/>
              </w:rPr>
              <w:t>4分</w:t>
            </w:r>
          </w:p>
        </w:tc>
        <w:tc>
          <w:tcPr>
            <w:tcW w:w="6280" w:type="dxa"/>
            <w:tcBorders>
              <w:tl2br w:val="nil"/>
              <w:tr2bl w:val="nil"/>
            </w:tcBorders>
            <w:vAlign w:val="center"/>
          </w:tcPr>
          <w:p w14:paraId="3269DC34">
            <w:pPr>
              <w:pStyle w:val="8"/>
              <w:keepNext w:val="0"/>
              <w:keepLines w:val="0"/>
              <w:pageBreakBefore w:val="0"/>
              <w:numPr>
                <w:ilvl w:val="0"/>
                <w:numId w:val="1"/>
              </w:numPr>
              <w:kinsoku/>
              <w:wordWrap/>
              <w:overflowPunct/>
              <w:topLinePunct w:val="0"/>
              <w:bidi w:val="0"/>
              <w:adjustRightInd/>
              <w:spacing w:before="0" w:beforeAutospacing="0" w:after="0" w:afterAutospacing="0" w:line="360" w:lineRule="exact"/>
              <w:textAlignment w:val="auto"/>
              <w:rPr>
                <w:rFonts w:hint="eastAsia" w:asciiTheme="majorEastAsia" w:hAnsiTheme="majorEastAsia" w:eastAsiaTheme="majorEastAsia"/>
                <w:color w:val="auto"/>
              </w:rPr>
            </w:pPr>
            <w:r>
              <w:rPr>
                <w:rFonts w:hint="eastAsia" w:asciiTheme="majorEastAsia" w:hAnsiTheme="majorEastAsia" w:eastAsiaTheme="majorEastAsia"/>
                <w:color w:val="auto"/>
              </w:rPr>
              <w:t>提供由行业鉴定主管机构出具的符合国家职业技能标准的相关证明文件</w:t>
            </w:r>
            <w:r>
              <w:rPr>
                <w:rFonts w:hint="eastAsia" w:asciiTheme="majorEastAsia" w:hAnsiTheme="majorEastAsia" w:eastAsiaTheme="majorEastAsia"/>
                <w:color w:val="auto"/>
                <w:lang w:eastAsia="zh-CN"/>
              </w:rPr>
              <w:t>（</w:t>
            </w:r>
            <w:r>
              <w:rPr>
                <w:rFonts w:hint="eastAsia" w:asciiTheme="majorEastAsia" w:hAnsiTheme="majorEastAsia" w:eastAsiaTheme="majorEastAsia"/>
                <w:color w:val="auto"/>
                <w:lang w:val="en-US" w:eastAsia="zh-CN"/>
              </w:rPr>
              <w:t>2分</w:t>
            </w:r>
            <w:r>
              <w:rPr>
                <w:rFonts w:hint="eastAsia" w:asciiTheme="majorEastAsia" w:hAnsiTheme="majorEastAsia" w:eastAsiaTheme="majorEastAsia"/>
                <w:color w:val="auto"/>
                <w:lang w:eastAsia="zh-CN"/>
              </w:rPr>
              <w:t>）</w:t>
            </w:r>
            <w:r>
              <w:rPr>
                <w:rFonts w:hint="eastAsia" w:asciiTheme="majorEastAsia" w:hAnsiTheme="majorEastAsia" w:eastAsiaTheme="majorEastAsia"/>
                <w:color w:val="auto"/>
              </w:rPr>
              <w:t>。</w:t>
            </w:r>
          </w:p>
          <w:p w14:paraId="411809FD">
            <w:pPr>
              <w:pStyle w:val="8"/>
              <w:keepNext w:val="0"/>
              <w:keepLines w:val="0"/>
              <w:pageBreakBefore w:val="0"/>
              <w:numPr>
                <w:ilvl w:val="0"/>
                <w:numId w:val="1"/>
              </w:numPr>
              <w:kinsoku/>
              <w:wordWrap/>
              <w:overflowPunct/>
              <w:topLinePunct w:val="0"/>
              <w:bidi w:val="0"/>
              <w:adjustRightInd/>
              <w:spacing w:before="0" w:beforeAutospacing="0" w:after="0" w:afterAutospacing="0" w:line="360" w:lineRule="exact"/>
              <w:textAlignment w:val="auto"/>
              <w:rPr>
                <w:rFonts w:hint="eastAsia" w:asciiTheme="majorEastAsia" w:hAnsiTheme="majorEastAsia" w:eastAsiaTheme="majorEastAsia"/>
                <w:color w:val="auto"/>
              </w:rPr>
            </w:pPr>
            <w:r>
              <w:rPr>
                <w:rFonts w:hint="eastAsia" w:asciiTheme="majorEastAsia" w:hAnsiTheme="majorEastAsia" w:eastAsiaTheme="majorEastAsia"/>
                <w:color w:val="auto"/>
                <w:lang w:val="en-US" w:eastAsia="zh-CN"/>
              </w:rPr>
              <w:t>提供化工总控工软件著作权证书（2分）。</w:t>
            </w:r>
          </w:p>
        </w:tc>
      </w:tr>
      <w:tr w14:paraId="2B860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8" w:hRule="atLeast"/>
          <w:jc w:val="center"/>
        </w:trPr>
        <w:tc>
          <w:tcPr>
            <w:tcW w:w="623" w:type="dxa"/>
            <w:tcBorders>
              <w:tl2br w:val="nil"/>
              <w:tr2bl w:val="nil"/>
            </w:tcBorders>
            <w:vAlign w:val="center"/>
          </w:tcPr>
          <w:p w14:paraId="0A373EA5">
            <w:pPr>
              <w:keepNext w:val="0"/>
              <w:keepLines w:val="0"/>
              <w:pageBreakBefore w:val="0"/>
              <w:kinsoku/>
              <w:wordWrap/>
              <w:overflowPunct/>
              <w:topLinePunct w:val="0"/>
              <w:bidi w:val="0"/>
              <w:adjustRightInd/>
              <w:snapToGrid w:val="0"/>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237" w:type="dxa"/>
            <w:tcBorders>
              <w:tl2br w:val="nil"/>
              <w:tr2bl w:val="nil"/>
            </w:tcBorders>
            <w:vAlign w:val="center"/>
          </w:tcPr>
          <w:p w14:paraId="1F59AC01">
            <w:pPr>
              <w:keepNext w:val="0"/>
              <w:keepLines w:val="0"/>
              <w:pageBreakBefore w:val="0"/>
              <w:kinsoku/>
              <w:wordWrap/>
              <w:overflowPunct/>
              <w:topLinePunct w:val="0"/>
              <w:bidi w:val="0"/>
              <w:adjustRightInd/>
              <w:snapToGrid w:val="0"/>
              <w:spacing w:line="360" w:lineRule="exact"/>
              <w:jc w:val="center"/>
              <w:textAlignment w:val="auto"/>
              <w:rPr>
                <w:rFonts w:hint="default" w:cs="宋体" w:asciiTheme="majorEastAsia" w:hAnsiTheme="majorEastAsia" w:eastAsiaTheme="majorEastAsia"/>
                <w:color w:val="auto"/>
                <w:lang w:val="en-US" w:eastAsia="zh-CN"/>
              </w:rPr>
            </w:pPr>
            <w:r>
              <w:rPr>
                <w:rFonts w:hint="eastAsia" w:cs="宋体" w:asciiTheme="majorEastAsia" w:hAnsiTheme="majorEastAsia" w:eastAsiaTheme="majorEastAsia"/>
                <w:color w:val="auto"/>
                <w:lang w:val="en-US" w:eastAsia="zh-CN"/>
              </w:rPr>
              <w:t>团队实力</w:t>
            </w:r>
          </w:p>
        </w:tc>
        <w:tc>
          <w:tcPr>
            <w:tcW w:w="700" w:type="dxa"/>
            <w:tcBorders>
              <w:tl2br w:val="nil"/>
              <w:tr2bl w:val="nil"/>
            </w:tcBorders>
            <w:vAlign w:val="center"/>
          </w:tcPr>
          <w:p w14:paraId="5DE0E74B">
            <w:pPr>
              <w:keepNext w:val="0"/>
              <w:keepLines w:val="0"/>
              <w:pageBreakBefore w:val="0"/>
              <w:kinsoku/>
              <w:wordWrap/>
              <w:overflowPunct/>
              <w:topLinePunct w:val="0"/>
              <w:bidi w:val="0"/>
              <w:adjustRightInd/>
              <w:snapToGrid w:val="0"/>
              <w:spacing w:line="360" w:lineRule="exact"/>
              <w:jc w:val="left"/>
              <w:textAlignment w:val="auto"/>
              <w:rPr>
                <w:rFonts w:hint="default" w:cs="宋体" w:asciiTheme="majorEastAsia" w:hAnsiTheme="majorEastAsia" w:eastAsiaTheme="majorEastAsia"/>
                <w:color w:val="auto"/>
                <w:sz w:val="24"/>
                <w:szCs w:val="24"/>
                <w:lang w:val="en-US" w:eastAsia="zh-CN"/>
              </w:rPr>
            </w:pPr>
            <w:r>
              <w:rPr>
                <w:rFonts w:hint="eastAsia"/>
                <w:lang w:val="en-US" w:eastAsia="zh-CN"/>
              </w:rPr>
              <w:t>5分</w:t>
            </w:r>
          </w:p>
        </w:tc>
        <w:tc>
          <w:tcPr>
            <w:tcW w:w="6280" w:type="dxa"/>
            <w:tcBorders>
              <w:tl2br w:val="nil"/>
              <w:tr2bl w:val="nil"/>
            </w:tcBorders>
            <w:vAlign w:val="center"/>
          </w:tcPr>
          <w:p w14:paraId="53901F79">
            <w:pPr>
              <w:pStyle w:val="8"/>
              <w:keepNext w:val="0"/>
              <w:keepLines w:val="0"/>
              <w:pageBreakBefore w:val="0"/>
              <w:numPr>
                <w:ilvl w:val="0"/>
                <w:numId w:val="0"/>
              </w:numPr>
              <w:kinsoku/>
              <w:wordWrap/>
              <w:overflowPunct/>
              <w:topLinePunct w:val="0"/>
              <w:bidi w:val="0"/>
              <w:adjustRightInd/>
              <w:spacing w:before="0" w:beforeAutospacing="0" w:after="0" w:afterAutospacing="0" w:line="360" w:lineRule="exact"/>
              <w:textAlignment w:val="auto"/>
              <w:rPr>
                <w:rFonts w:hint="eastAsia" w:asciiTheme="majorEastAsia" w:hAnsiTheme="majorEastAsia" w:eastAsiaTheme="majorEastAsia"/>
                <w:color w:val="auto"/>
                <w:lang w:val="en-US" w:eastAsia="zh-CN"/>
              </w:rPr>
            </w:pPr>
            <w:r>
              <w:rPr>
                <w:rFonts w:hint="eastAsia" w:asciiTheme="majorEastAsia" w:hAnsiTheme="majorEastAsia" w:eastAsiaTheme="majorEastAsia"/>
                <w:color w:val="auto"/>
                <w:lang w:val="en-US" w:eastAsia="zh-CN"/>
              </w:rPr>
              <w:t>拟投入项目团队人员具有化工工艺专业，或化学工程专业，或化工工程专业，或安全工程专业，或自动化专业，或化工电气仪表专业，或机械专业，高级职称证书得2分，中级职称证书得1分。1人1证，本项最多可得5分。</w:t>
            </w:r>
          </w:p>
        </w:tc>
      </w:tr>
      <w:tr w14:paraId="7DBE8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2560" w:type="dxa"/>
            <w:gridSpan w:val="3"/>
            <w:tcBorders>
              <w:tl2br w:val="nil"/>
              <w:tr2bl w:val="nil"/>
            </w:tcBorders>
            <w:vAlign w:val="center"/>
          </w:tcPr>
          <w:p w14:paraId="4534F975">
            <w:pPr>
              <w:keepNext w:val="0"/>
              <w:keepLines w:val="0"/>
              <w:pageBreakBefore w:val="0"/>
              <w:kinsoku/>
              <w:wordWrap/>
              <w:overflowPunct/>
              <w:topLinePunct w:val="0"/>
              <w:bidi w:val="0"/>
              <w:adjustRightInd/>
              <w:spacing w:line="360" w:lineRule="exact"/>
              <w:ind w:left="-57" w:leftChars="-26" w:right="-70" w:rightChars="-32"/>
              <w:jc w:val="center"/>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合计</w:t>
            </w:r>
          </w:p>
        </w:tc>
        <w:tc>
          <w:tcPr>
            <w:tcW w:w="6280" w:type="dxa"/>
            <w:tcBorders>
              <w:tl2br w:val="nil"/>
              <w:tr2bl w:val="nil"/>
            </w:tcBorders>
            <w:vAlign w:val="center"/>
          </w:tcPr>
          <w:p w14:paraId="45C5A52C">
            <w:pPr>
              <w:keepNext w:val="0"/>
              <w:keepLines w:val="0"/>
              <w:pageBreakBefore w:val="0"/>
              <w:kinsoku/>
              <w:wordWrap/>
              <w:overflowPunct/>
              <w:topLinePunct w:val="0"/>
              <w:bidi w:val="0"/>
              <w:adjustRightInd/>
              <w:spacing w:line="360" w:lineRule="exact"/>
              <w:ind w:left="-57" w:leftChars="-26" w:right="-70" w:rightChars="-32"/>
              <w:jc w:val="center"/>
              <w:textAlignment w:val="auto"/>
            </w:pPr>
            <w:r>
              <w:rPr>
                <w:rFonts w:hint="eastAsia" w:ascii="宋体" w:hAnsi="宋体" w:eastAsia="宋体" w:cs="宋体"/>
                <w:b/>
                <w:bCs/>
                <w:color w:val="auto"/>
                <w:sz w:val="24"/>
                <w:szCs w:val="24"/>
              </w:rPr>
              <w:t>商务分总计</w:t>
            </w: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rPr>
              <w:t>分</w:t>
            </w:r>
          </w:p>
        </w:tc>
      </w:tr>
    </w:tbl>
    <w:p w14:paraId="7D929E10">
      <w:pPr>
        <w:keepNext w:val="0"/>
        <w:keepLines w:val="0"/>
        <w:pageBreakBefore w:val="0"/>
        <w:kinsoku/>
        <w:wordWrap/>
        <w:overflowPunct/>
        <w:topLinePunct w:val="0"/>
        <w:bidi w:val="0"/>
        <w:adjustRightInd/>
        <w:spacing w:line="360" w:lineRule="exact"/>
        <w:textAlignment w:val="auto"/>
        <w:rPr>
          <w:rStyle w:val="13"/>
          <w:rFonts w:ascii="宋体" w:hAnsi="宋体" w:eastAsia="宋体" w:cs="宋体"/>
          <w:color w:val="auto"/>
          <w:szCs w:val="24"/>
        </w:rPr>
      </w:pPr>
    </w:p>
    <w:p w14:paraId="7FDA748C">
      <w:pPr>
        <w:keepNext w:val="0"/>
        <w:keepLines w:val="0"/>
        <w:pageBreakBefore w:val="0"/>
        <w:kinsoku/>
        <w:wordWrap/>
        <w:overflowPunct/>
        <w:topLinePunct w:val="0"/>
        <w:bidi w:val="0"/>
        <w:adjustRightInd/>
        <w:spacing w:line="360" w:lineRule="exact"/>
        <w:jc w:val="center"/>
        <w:textAlignment w:val="auto"/>
        <w:rPr>
          <w:rFonts w:hint="eastAsia" w:ascii="宋体" w:hAnsi="宋体" w:eastAsia="宋体" w:cs="宋体"/>
          <w:b/>
          <w:bCs/>
          <w:color w:val="auto"/>
          <w:sz w:val="24"/>
          <w:szCs w:val="24"/>
          <w:lang w:eastAsia="zh-CN"/>
        </w:rPr>
      </w:pPr>
    </w:p>
    <w:p w14:paraId="16111E34">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color w:val="auto"/>
          <w:sz w:val="32"/>
          <w:szCs w:val="32"/>
        </w:rPr>
      </w:pPr>
      <w:r>
        <w:rPr>
          <w:rFonts w:hint="eastAsia" w:ascii="宋体" w:hAnsi="宋体" w:eastAsia="宋体" w:cs="宋体"/>
          <w:b/>
          <w:bCs/>
          <w:color w:val="auto"/>
          <w:sz w:val="32"/>
          <w:szCs w:val="32"/>
          <w:lang w:eastAsia="zh-CN"/>
        </w:rPr>
        <w:t>（三）价</w:t>
      </w:r>
      <w:r>
        <w:rPr>
          <w:rFonts w:hint="eastAsia" w:ascii="宋体" w:hAnsi="宋体" w:eastAsia="宋体" w:cs="宋体"/>
          <w:b/>
          <w:bCs/>
          <w:color w:val="auto"/>
          <w:sz w:val="32"/>
          <w:szCs w:val="32"/>
        </w:rPr>
        <w:t>格评审表</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8"/>
        <w:gridCol w:w="1238"/>
        <w:gridCol w:w="740"/>
        <w:gridCol w:w="6562"/>
      </w:tblGrid>
      <w:tr w14:paraId="1B2C9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exact"/>
          <w:tblHeader/>
          <w:jc w:val="center"/>
        </w:trPr>
        <w:tc>
          <w:tcPr>
            <w:tcW w:w="788" w:type="dxa"/>
            <w:tcBorders>
              <w:tl2br w:val="nil"/>
              <w:tr2bl w:val="nil"/>
            </w:tcBorders>
            <w:vAlign w:val="center"/>
          </w:tcPr>
          <w:p w14:paraId="61EE51BA">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序号</w:t>
            </w:r>
          </w:p>
        </w:tc>
        <w:tc>
          <w:tcPr>
            <w:tcW w:w="1323" w:type="dxa"/>
            <w:tcBorders>
              <w:tl2br w:val="nil"/>
              <w:tr2bl w:val="nil"/>
            </w:tcBorders>
            <w:vAlign w:val="center"/>
          </w:tcPr>
          <w:p w14:paraId="727997C2">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评审项</w:t>
            </w:r>
          </w:p>
        </w:tc>
        <w:tc>
          <w:tcPr>
            <w:tcW w:w="780" w:type="dxa"/>
            <w:tcBorders>
              <w:tl2br w:val="nil"/>
              <w:tr2bl w:val="nil"/>
            </w:tcBorders>
            <w:vAlign w:val="center"/>
          </w:tcPr>
          <w:p w14:paraId="54C8E485">
            <w:pPr>
              <w:keepNext w:val="0"/>
              <w:keepLines w:val="0"/>
              <w:pageBreakBefore w:val="0"/>
              <w:kinsoku/>
              <w:wordWrap/>
              <w:overflowPunct/>
              <w:topLinePunct w:val="0"/>
              <w:bidi w:val="0"/>
              <w:adjustRightInd/>
              <w:spacing w:line="360" w:lineRule="exact"/>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分值</w:t>
            </w:r>
          </w:p>
        </w:tc>
        <w:tc>
          <w:tcPr>
            <w:tcW w:w="7134" w:type="dxa"/>
            <w:tcBorders>
              <w:tl2br w:val="nil"/>
              <w:tr2bl w:val="nil"/>
            </w:tcBorders>
            <w:vAlign w:val="center"/>
          </w:tcPr>
          <w:p w14:paraId="216D836F">
            <w:pPr>
              <w:keepNext w:val="0"/>
              <w:keepLines w:val="0"/>
              <w:pageBreakBefore w:val="0"/>
              <w:kinsoku/>
              <w:wordWrap/>
              <w:overflowPunct/>
              <w:topLinePunct w:val="0"/>
              <w:bidi w:val="0"/>
              <w:adjustRightInd/>
              <w:spacing w:line="360" w:lineRule="exact"/>
              <w:ind w:left="41" w:leftChars="-195" w:hanging="470" w:hangingChars="195"/>
              <w:jc w:val="center"/>
              <w:textAlignment w:val="auto"/>
              <w:rPr>
                <w:rFonts w:ascii="宋体" w:hAnsi="宋体" w:eastAsia="宋体" w:cs="宋体"/>
                <w:b/>
                <w:bCs/>
                <w:color w:val="auto"/>
                <w:position w:val="8"/>
                <w:sz w:val="24"/>
                <w:szCs w:val="24"/>
              </w:rPr>
            </w:pPr>
            <w:r>
              <w:rPr>
                <w:rFonts w:hint="eastAsia" w:ascii="宋体" w:hAnsi="宋体" w:eastAsia="宋体" w:cs="宋体"/>
                <w:b/>
                <w:bCs/>
                <w:color w:val="auto"/>
                <w:position w:val="8"/>
                <w:sz w:val="24"/>
                <w:szCs w:val="24"/>
              </w:rPr>
              <w:t>评审细则</w:t>
            </w:r>
          </w:p>
        </w:tc>
      </w:tr>
      <w:tr w14:paraId="00617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jc w:val="center"/>
        </w:trPr>
        <w:tc>
          <w:tcPr>
            <w:tcW w:w="788" w:type="dxa"/>
            <w:tcBorders>
              <w:tl2br w:val="nil"/>
              <w:tr2bl w:val="nil"/>
            </w:tcBorders>
            <w:vAlign w:val="center"/>
          </w:tcPr>
          <w:p w14:paraId="44010A1C">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rPr>
            </w:pPr>
            <w:r>
              <w:rPr>
                <w:rFonts w:hint="eastAsia" w:ascii="宋体" w:hAnsi="宋体" w:eastAsia="宋体" w:cs="宋体"/>
                <w:color w:val="auto"/>
                <w:sz w:val="24"/>
                <w:szCs w:val="24"/>
              </w:rPr>
              <w:t>1</w:t>
            </w:r>
          </w:p>
        </w:tc>
        <w:tc>
          <w:tcPr>
            <w:tcW w:w="1323" w:type="dxa"/>
            <w:tcBorders>
              <w:tl2br w:val="nil"/>
              <w:tr2bl w:val="nil"/>
            </w:tcBorders>
            <w:vAlign w:val="center"/>
          </w:tcPr>
          <w:p w14:paraId="6B022D34">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lang w:eastAsia="zh-CN"/>
              </w:rPr>
            </w:pPr>
            <w:r>
              <w:rPr>
                <w:rFonts w:hint="eastAsia" w:ascii="宋体" w:hAnsi="宋体" w:eastAsia="宋体" w:cs="宋体"/>
                <w:color w:val="auto"/>
                <w:sz w:val="24"/>
                <w:szCs w:val="24"/>
              </w:rPr>
              <w:t>价格</w:t>
            </w:r>
            <w:r>
              <w:rPr>
                <w:rFonts w:hint="eastAsia" w:ascii="宋体" w:hAnsi="宋体" w:eastAsia="宋体" w:cs="宋体"/>
                <w:color w:val="auto"/>
                <w:sz w:val="24"/>
                <w:szCs w:val="24"/>
                <w:lang w:eastAsia="zh-CN"/>
              </w:rPr>
              <w:t>评分</w:t>
            </w:r>
          </w:p>
        </w:tc>
        <w:tc>
          <w:tcPr>
            <w:tcW w:w="780" w:type="dxa"/>
            <w:tcBorders>
              <w:tl2br w:val="nil"/>
              <w:tr2bl w:val="nil"/>
            </w:tcBorders>
            <w:vAlign w:val="center"/>
          </w:tcPr>
          <w:p w14:paraId="25365293">
            <w:pPr>
              <w:keepNext w:val="0"/>
              <w:keepLines w:val="0"/>
              <w:pageBreakBefore w:val="0"/>
              <w:kinsoku/>
              <w:wordWrap/>
              <w:overflowPunct/>
              <w:topLinePunct w:val="0"/>
              <w:bidi w:val="0"/>
              <w:adjustRightInd/>
              <w:snapToGrid w:val="0"/>
              <w:spacing w:line="360" w:lineRule="exact"/>
              <w:jc w:val="center"/>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lang w:eastAsia="zh-CN"/>
              </w:rPr>
              <w:t>分</w:t>
            </w:r>
          </w:p>
        </w:tc>
        <w:tc>
          <w:tcPr>
            <w:tcW w:w="7134" w:type="dxa"/>
            <w:tcBorders>
              <w:tl2br w:val="nil"/>
              <w:tr2bl w:val="nil"/>
            </w:tcBorders>
            <w:vAlign w:val="center"/>
          </w:tcPr>
          <w:p w14:paraId="03CA2C38">
            <w:pPr>
              <w:pStyle w:val="9"/>
              <w:keepNext w:val="0"/>
              <w:keepLines w:val="0"/>
              <w:pageBreakBefore w:val="0"/>
              <w:kinsoku/>
              <w:wordWrap/>
              <w:overflowPunct/>
              <w:topLinePunct w:val="0"/>
              <w:bidi w:val="0"/>
              <w:adjustRightInd/>
              <w:spacing w:before="0" w:beforeAutospacing="0" w:line="360" w:lineRule="exact"/>
              <w:ind w:firstLine="0" w:firstLineChars="0"/>
              <w:textAlignment w:val="auto"/>
              <w:rPr>
                <w:rFonts w:ascii="宋体" w:hAnsi="宋体" w:cs="宋体"/>
                <w:color w:val="auto"/>
              </w:rPr>
            </w:pPr>
            <w:r>
              <w:rPr>
                <w:rFonts w:hint="eastAsia" w:ascii="宋体" w:hAnsi="宋体" w:cs="宋体"/>
                <w:color w:val="auto"/>
              </w:rPr>
              <w:t>投标报价得分＝（评标基准价/投标报价）×价格分值【注：满足文件要求且投标价格最低的投标报价为评标基准价</w:t>
            </w:r>
            <w:r>
              <w:rPr>
                <w:rFonts w:hint="eastAsia" w:ascii="宋体" w:hAnsi="宋体" w:cs="宋体"/>
                <w:color w:val="auto"/>
                <w:lang w:eastAsia="zh-CN"/>
              </w:rPr>
              <w:t>】</w:t>
            </w:r>
          </w:p>
        </w:tc>
      </w:tr>
      <w:tr w14:paraId="4F823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2891" w:type="dxa"/>
            <w:gridSpan w:val="3"/>
            <w:tcBorders>
              <w:tl2br w:val="nil"/>
              <w:tr2bl w:val="nil"/>
            </w:tcBorders>
            <w:vAlign w:val="center"/>
          </w:tcPr>
          <w:p w14:paraId="0732F0F5">
            <w:pPr>
              <w:keepNext w:val="0"/>
              <w:keepLines w:val="0"/>
              <w:pageBreakBefore w:val="0"/>
              <w:kinsoku/>
              <w:wordWrap/>
              <w:overflowPunct/>
              <w:topLinePunct w:val="0"/>
              <w:bidi w:val="0"/>
              <w:adjustRightInd/>
              <w:spacing w:line="360" w:lineRule="exact"/>
              <w:ind w:left="-57" w:leftChars="-26" w:right="-70" w:rightChars="-32"/>
              <w:jc w:val="center"/>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合计</w:t>
            </w:r>
          </w:p>
        </w:tc>
        <w:tc>
          <w:tcPr>
            <w:tcW w:w="7134" w:type="dxa"/>
            <w:tcBorders>
              <w:tl2br w:val="nil"/>
              <w:tr2bl w:val="nil"/>
            </w:tcBorders>
            <w:vAlign w:val="center"/>
          </w:tcPr>
          <w:p w14:paraId="7DF07786">
            <w:pPr>
              <w:keepNext w:val="0"/>
              <w:keepLines w:val="0"/>
              <w:pageBreakBefore w:val="0"/>
              <w:kinsoku/>
              <w:wordWrap/>
              <w:overflowPunct/>
              <w:topLinePunct w:val="0"/>
              <w:bidi w:val="0"/>
              <w:adjustRightInd/>
              <w:spacing w:line="360" w:lineRule="exact"/>
              <w:ind w:left="-57" w:leftChars="-26" w:right="-70" w:rightChars="-32"/>
              <w:jc w:val="center"/>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价格分</w:t>
            </w:r>
            <w:r>
              <w:rPr>
                <w:rFonts w:hint="eastAsia" w:ascii="宋体" w:hAnsi="宋体" w:eastAsia="宋体" w:cs="宋体"/>
                <w:b/>
                <w:bCs/>
                <w:color w:val="auto"/>
                <w:sz w:val="24"/>
                <w:szCs w:val="24"/>
                <w:lang w:eastAsia="zh-CN"/>
              </w:rPr>
              <w:t>总计</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分</w:t>
            </w:r>
          </w:p>
        </w:tc>
      </w:tr>
    </w:tbl>
    <w:p w14:paraId="4BFAE585">
      <w:pPr>
        <w:keepNext w:val="0"/>
        <w:keepLines w:val="0"/>
        <w:pageBreakBefore w:val="0"/>
        <w:kinsoku/>
        <w:wordWrap/>
        <w:overflowPunct/>
        <w:topLinePunct w:val="0"/>
        <w:bidi w:val="0"/>
        <w:adjustRightInd/>
        <w:spacing w:line="360" w:lineRule="exact"/>
        <w:jc w:val="center"/>
        <w:textAlignment w:val="auto"/>
        <w:rPr>
          <w:rFonts w:hint="eastAsia"/>
          <w:b/>
          <w:bCs/>
          <w:color w:val="auto"/>
          <w:sz w:val="28"/>
          <w:szCs w:val="28"/>
          <w:lang w:val="en-US" w:eastAsia="zh-CN"/>
        </w:rPr>
      </w:pPr>
      <w:r>
        <w:rPr>
          <w:rFonts w:hint="eastAsia"/>
          <w:b/>
          <w:bCs/>
          <w:color w:val="auto"/>
          <w:sz w:val="28"/>
          <w:szCs w:val="28"/>
          <w:lang w:eastAsia="zh-CN"/>
        </w:rPr>
        <w:t>总得分</w:t>
      </w:r>
      <w:r>
        <w:rPr>
          <w:rFonts w:hint="eastAsia"/>
          <w:b/>
          <w:bCs/>
          <w:color w:val="auto"/>
          <w:sz w:val="28"/>
          <w:szCs w:val="28"/>
          <w:lang w:val="en-US" w:eastAsia="zh-CN"/>
        </w:rPr>
        <w:t>=</w:t>
      </w:r>
      <w:r>
        <w:rPr>
          <w:rFonts w:hint="eastAsia"/>
          <w:b/>
          <w:bCs/>
          <w:color w:val="auto"/>
          <w:sz w:val="28"/>
          <w:szCs w:val="28"/>
          <w:lang w:eastAsia="zh-CN"/>
        </w:rPr>
        <w:t>（一）技术分</w:t>
      </w:r>
      <w:r>
        <w:rPr>
          <w:rFonts w:hint="eastAsia"/>
          <w:b/>
          <w:bCs/>
          <w:color w:val="auto"/>
          <w:sz w:val="28"/>
          <w:szCs w:val="28"/>
          <w:lang w:val="en-US" w:eastAsia="zh-CN"/>
        </w:rPr>
        <w:t>+（二）</w:t>
      </w:r>
      <w:r>
        <w:rPr>
          <w:rFonts w:hint="eastAsia"/>
          <w:b/>
          <w:bCs/>
          <w:color w:val="auto"/>
          <w:sz w:val="28"/>
          <w:szCs w:val="28"/>
          <w:lang w:eastAsia="zh-CN"/>
        </w:rPr>
        <w:t>商务分</w:t>
      </w:r>
      <w:r>
        <w:rPr>
          <w:rFonts w:hint="eastAsia"/>
          <w:b/>
          <w:bCs/>
          <w:color w:val="auto"/>
          <w:sz w:val="28"/>
          <w:szCs w:val="28"/>
          <w:lang w:val="en-US" w:eastAsia="zh-CN"/>
        </w:rPr>
        <w:t>+（三）</w:t>
      </w:r>
      <w:r>
        <w:rPr>
          <w:rFonts w:hint="eastAsia"/>
          <w:b/>
          <w:bCs/>
          <w:color w:val="auto"/>
          <w:sz w:val="28"/>
          <w:szCs w:val="28"/>
          <w:lang w:eastAsia="zh-CN"/>
        </w:rPr>
        <w:t>价格分</w:t>
      </w:r>
    </w:p>
    <w:p w14:paraId="2D0BFEEC"/>
    <w:sectPr>
      <w:footerReference r:id="rId3" w:type="default"/>
      <w:pgSz w:w="11906" w:h="16838"/>
      <w:pgMar w:top="1417"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634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88D7B">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5988D7B">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85ED01"/>
    <w:multiLevelType w:val="singleLevel"/>
    <w:tmpl w:val="CF85ED0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C74E8D"/>
    <w:rsid w:val="035B7AF1"/>
    <w:rsid w:val="094C5A41"/>
    <w:rsid w:val="0AFC1352"/>
    <w:rsid w:val="1D2C15D3"/>
    <w:rsid w:val="37C74E8D"/>
    <w:rsid w:val="607F1B46"/>
    <w:rsid w:val="6FD902CD"/>
    <w:rsid w:val="78EF6F10"/>
    <w:rsid w:val="7ADE7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仿宋" w:hAnsi="仿宋" w:eastAsia="仿宋" w:cs="仿宋"/>
      <w:sz w:val="22"/>
      <w:szCs w:val="22"/>
      <w:lang w:val="en-US" w:eastAsia="en-US" w:bidi="ar-SA"/>
    </w:rPr>
  </w:style>
  <w:style w:type="paragraph" w:styleId="4">
    <w:name w:val="heading 3"/>
    <w:basedOn w:val="1"/>
    <w:next w:val="1"/>
    <w:link w:val="13"/>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afterLines="0" w:afterAutospacing="0" w:line="240" w:lineRule="auto"/>
      <w:ind w:left="420" w:leftChars="200" w:firstLine="420" w:firstLineChars="200"/>
    </w:pPr>
    <w:rPr>
      <w:sz w:val="21"/>
    </w:rPr>
  </w:style>
  <w:style w:type="paragraph" w:styleId="3">
    <w:name w:val="Body Text Indent"/>
    <w:basedOn w:val="1"/>
    <w:qFormat/>
    <w:uiPriority w:val="0"/>
    <w:pPr>
      <w:spacing w:line="700" w:lineRule="exact"/>
      <w:ind w:left="960"/>
    </w:pPr>
    <w:rPr>
      <w:sz w:val="44"/>
    </w:rPr>
  </w:style>
  <w:style w:type="paragraph" w:styleId="5">
    <w:name w:val="Body Text"/>
    <w:basedOn w:val="1"/>
    <w:qFormat/>
    <w:uiPriority w:val="1"/>
    <w:pPr>
      <w:spacing w:line="360" w:lineRule="auto"/>
    </w:pPr>
    <w:rPr>
      <w:rFonts w:ascii="宋体" w:hAnsi="宋体" w:eastAsia="宋体" w:cs="宋体"/>
      <w:color w:val="000000"/>
      <w:kern w:val="2"/>
      <w:sz w:val="24"/>
      <w:szCs w:val="24"/>
      <w:lang w:eastAsia="zh-CN"/>
    </w:rPr>
  </w:style>
  <w:style w:type="paragraph" w:styleId="6">
    <w:name w:val="footer"/>
    <w:basedOn w:val="1"/>
    <w:qFormat/>
    <w:uiPriority w:val="0"/>
    <w:pPr>
      <w:tabs>
        <w:tab w:val="center" w:pos="4153"/>
        <w:tab w:val="right" w:pos="8306"/>
      </w:tabs>
      <w:snapToGrid w:val="0"/>
    </w:pPr>
    <w:rPr>
      <w:sz w:val="18"/>
      <w:szCs w:val="18"/>
    </w:rPr>
  </w:style>
  <w:style w:type="paragraph" w:styleId="7">
    <w:name w:val="Body Text 2"/>
    <w:basedOn w:val="1"/>
    <w:next w:val="1"/>
    <w:qFormat/>
    <w:uiPriority w:val="0"/>
    <w:pPr>
      <w:spacing w:after="120" w:line="480" w:lineRule="auto"/>
    </w:pPr>
    <w:rPr>
      <w:rFonts w:ascii="Times New Roman" w:hAnsi="Times New Roman" w:eastAsia="宋体" w:cs="Times New Roman"/>
      <w:sz w:val="21"/>
      <w:szCs w:val="20"/>
    </w:rPr>
  </w:style>
  <w:style w:type="paragraph" w:styleId="8">
    <w:name w:val="Normal (Web)"/>
    <w:basedOn w:val="1"/>
    <w:unhideWhenUsed/>
    <w:qFormat/>
    <w:uiPriority w:val="99"/>
    <w:pPr>
      <w:widowControl/>
      <w:autoSpaceDE/>
      <w:autoSpaceDN/>
      <w:spacing w:before="100" w:beforeAutospacing="1" w:after="100" w:afterAutospacing="1"/>
    </w:pPr>
    <w:rPr>
      <w:rFonts w:ascii="宋体" w:hAnsi="宋体" w:eastAsia="宋体" w:cs="宋体"/>
      <w:sz w:val="24"/>
      <w:szCs w:val="24"/>
      <w:lang w:eastAsia="zh-CN"/>
    </w:rPr>
  </w:style>
  <w:style w:type="paragraph" w:styleId="9">
    <w:name w:val="Body Text First Indent"/>
    <w:basedOn w:val="5"/>
    <w:unhideWhenUsed/>
    <w:qFormat/>
    <w:uiPriority w:val="99"/>
    <w:pPr>
      <w:widowControl/>
      <w:spacing w:before="100" w:beforeAutospacing="1"/>
      <w:ind w:firstLine="420" w:firstLineChars="100"/>
    </w:pPr>
    <w:rPr>
      <w:rFonts w:ascii="Calibri" w:hAnsi="Calibri" w:cs="Times New Roman"/>
      <w:kern w:val="0"/>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
    <w:name w:val="标题 3 字符1"/>
    <w:link w:val="4"/>
    <w:qFormat/>
    <w:uiPriority w:val="0"/>
    <w:rPr>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91068bd3-0262-4a08-b97f-5327b0b11158</errorID>
      <errorWord>、以及</errorWord>
      <group>L1_Punc</group>
      <groupName>标点问题</groupName>
      <ability>L2_Punc_CN</ability>
      <abilityName>标点符号问题</abilityName>
      <candidateList>
        <item>，以及</item>
      </candidateList>
      <explain>连接词前后不宜使用顿号，建议使用逗号。</explain>
      <paraID> ED2BEE6</paraID>
      <start>80</start>
      <end>83</end>
      <status>modified</status>
      <modifiedWord>，以及</modifiedWord>
      <trackRevisions>false</trackRevisions>
    </reviewItem>
    <reviewItem>
      <errorID>f5f95e06-be65-4dac-a275-488453dc9945</errorID>
      <errorWord>、以及</errorWord>
      <group>L1_Punc</group>
      <groupName>标点问题</groupName>
      <ability>L2_Punc_CN</ability>
      <abilityName>标点符号问题</abilityName>
      <candidateList>
        <item>，以及</item>
      </candidateList>
      <explain>连接词前后不宜使用顿号，建议使用逗号。</explain>
      <paraID>2E59065A</paraID>
      <start>45</start>
      <end>48</end>
      <status>modified</status>
      <modifiedWord>，以及</modifiedWord>
      <trackRevisions>false</trackRevisions>
    </reviewItem>
    <reviewItem>
      <errorID>b8034594-5948-40eb-b850-66bfe3bff22f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47D7F4EE</paraID>
      <start>0</start>
      <end>2</end>
      <status>modified</status>
      <modifiedWord>1）</modifiedWord>
      <trackRevisions>false</trackRevisions>
    </reviewItem>
    <reviewItem>
      <errorID>5e9dcdd4-16e4-4aa7-b7dd-fd4d58f2b2bb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2AC58B71</paraID>
      <start>0</start>
      <end>2</end>
      <status>modified</status>
      <modifiedWord>4）</modifiedWord>
      <trackRevisions>false</trackRevisions>
    </reviewItem>
    <reviewItem>
      <errorID>6355e974-5367-450b-bb31-d9ff93bda985</errorID>
      <errorWord>演示在</errorWord>
      <group>L1_Word</group>
      <groupName>字词问题</groupName>
      <ability>L2_Typo</ability>
      <abilityName>字词错误</abilityName>
      <candidateList>
        <item>演示</item>
      </candidateList>
      <explain/>
      <paraID>2AC58B71</paraID>
      <start>2</start>
      <end>4</end>
      <status>modified</status>
      <modifiedWord>演示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25772-c084-4d35-b0f8-afc5e6a93ade}">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2204</Words>
  <Characters>2276</Characters>
  <Lines>0</Lines>
  <Paragraphs>0</Paragraphs>
  <TotalTime>25</TotalTime>
  <ScaleCrop>false</ScaleCrop>
  <LinksUpToDate>false</LinksUpToDate>
  <CharactersWithSpaces>2276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2026-10-15T03:05:00Z</dcterms:created>
  <dc:creator>订</dc:creator>
  <cp:lastModifiedBy>warm</cp:lastModifiedBy>
  <dcterms:modified xsi:type="dcterms:W3CDTF">2026-10-20T09:09:36Z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50A6EAD463E34347AA86571FE47B7131_13</vt:lpwstr>
  </property>
  <property fmtid="{D5CDD505-2E9C-101B-9397-08002B2CF9AE}" pid="4" name="KSOTemplateDocerSaveRecord">
    <vt:lpwstr>eyJoZGlkIjoiZmFmN2E2YTYwYzkyYTA2ZDZhNTU0NDU1NDRhMDE4NDIiLCJ1c2VySWQiOiI5Mjg3NDI2OTIifQ==</vt:lpwstr>
  </property>
</Properties>
</file>