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99D2A">
      <w:pPr>
        <w:jc w:val="both"/>
        <w:rPr>
          <w:rFonts w:hint="eastAsia" w:ascii="宋体" w:hAnsi="宋体" w:eastAsia="宋体" w:cs="宋体"/>
          <w:b/>
          <w:bCs/>
          <w:color w:val="auto"/>
          <w:kern w:val="0"/>
          <w:sz w:val="28"/>
          <w:szCs w:val="28"/>
          <w:lang w:eastAsia="zh-CN"/>
        </w:rPr>
      </w:pPr>
      <w:r>
        <w:rPr>
          <w:rFonts w:hint="eastAsia" w:ascii="宋体" w:hAnsi="宋体" w:eastAsia="宋体" w:cs="宋体"/>
          <w:b/>
          <w:bCs/>
          <w:color w:val="auto"/>
          <w:kern w:val="0"/>
          <w:sz w:val="28"/>
          <w:szCs w:val="28"/>
        </w:rPr>
        <w:t>附件2</w:t>
      </w:r>
      <w:r>
        <w:rPr>
          <w:rFonts w:hint="eastAsia" w:ascii="宋体" w:hAnsi="宋体" w:eastAsia="宋体" w:cs="宋体"/>
          <w:b/>
          <w:bCs/>
          <w:color w:val="auto"/>
          <w:kern w:val="0"/>
          <w:sz w:val="28"/>
          <w:szCs w:val="28"/>
          <w:lang w:eastAsia="zh-CN"/>
        </w:rPr>
        <w:t>：</w:t>
      </w:r>
    </w:p>
    <w:p w14:paraId="78E28A41">
      <w:pPr>
        <w:jc w:val="center"/>
        <w:rPr>
          <w:rFonts w:hint="eastAsia" w:ascii="宋体" w:hAnsi="宋体" w:eastAsia="宋体" w:cs="宋体"/>
          <w:b/>
          <w:color w:val="auto"/>
          <w:sz w:val="32"/>
          <w:szCs w:val="24"/>
          <w:lang w:eastAsia="zh-CN"/>
        </w:rPr>
      </w:pPr>
      <w:r>
        <w:rPr>
          <w:rFonts w:hint="eastAsia" w:ascii="宋体" w:hAnsi="宋体" w:eastAsia="宋体" w:cs="宋体"/>
          <w:b/>
          <w:bCs/>
          <w:color w:val="auto"/>
          <w:kern w:val="0"/>
          <w:sz w:val="28"/>
          <w:szCs w:val="28"/>
        </w:rPr>
        <w:t>广西工业技师学院机电一体化优质专业内涵建设服务项目评分办法</w:t>
      </w:r>
    </w:p>
    <w:p w14:paraId="1F77F2A6">
      <w:pPr>
        <w:autoSpaceDE w:val="0"/>
        <w:autoSpaceDN w:val="0"/>
        <w:adjustRightInd w:val="0"/>
        <w:spacing w:line="360" w:lineRule="exact"/>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一、评标原则</w:t>
      </w:r>
    </w:p>
    <w:p w14:paraId="1D3100D4">
      <w:pPr>
        <w:autoSpaceDE w:val="0"/>
        <w:autoSpaceDN w:val="0"/>
        <w:adjustRightInd w:val="0"/>
        <w:spacing w:line="360" w:lineRule="exact"/>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w:t>
      </w:r>
      <w:r>
        <w:rPr>
          <w:rFonts w:hint="eastAsia" w:ascii="宋体" w:hAnsi="宋体" w:eastAsia="宋体" w:cs="宋体"/>
          <w:color w:val="auto"/>
          <w:sz w:val="24"/>
          <w:szCs w:val="24"/>
        </w:rPr>
        <w:t>评标委员会</w:t>
      </w:r>
      <w:r>
        <w:rPr>
          <w:rFonts w:hint="eastAsia" w:ascii="宋体" w:hAnsi="宋体" w:eastAsia="宋体" w:cs="宋体"/>
          <w:color w:val="auto"/>
          <w:sz w:val="24"/>
          <w:szCs w:val="24"/>
          <w:lang w:val="zh-CN"/>
        </w:rPr>
        <w:t>构成：本</w:t>
      </w:r>
      <w:r>
        <w:rPr>
          <w:rFonts w:hint="eastAsia" w:ascii="宋体" w:hAnsi="宋体" w:eastAsia="宋体" w:cs="宋体"/>
          <w:color w:val="auto"/>
          <w:sz w:val="24"/>
          <w:szCs w:val="24"/>
        </w:rPr>
        <w:t>次</w:t>
      </w:r>
      <w:r>
        <w:rPr>
          <w:rFonts w:hint="eastAsia" w:ascii="宋体" w:hAnsi="宋体" w:eastAsia="宋体" w:cs="宋体"/>
          <w:color w:val="auto"/>
          <w:sz w:val="24"/>
          <w:szCs w:val="24"/>
          <w:lang w:val="zh-CN"/>
        </w:rPr>
        <w:t>采购项目的评委由</w:t>
      </w:r>
      <w:r>
        <w:rPr>
          <w:rFonts w:hint="eastAsia" w:ascii="宋体" w:hAnsi="宋体" w:eastAsia="宋体" w:cs="宋体"/>
          <w:b/>
          <w:bCs/>
          <w:color w:val="auto"/>
          <w:sz w:val="24"/>
          <w:szCs w:val="24"/>
          <w:lang w:val="zh-CN"/>
        </w:rPr>
        <w:t>五人</w:t>
      </w:r>
      <w:r>
        <w:rPr>
          <w:rFonts w:hint="eastAsia" w:ascii="宋体" w:hAnsi="宋体" w:eastAsia="宋体" w:cs="宋体"/>
          <w:color w:val="auto"/>
          <w:sz w:val="24"/>
          <w:szCs w:val="24"/>
          <w:lang w:val="zh-CN"/>
        </w:rPr>
        <w:t>以上单数构成。</w:t>
      </w:r>
    </w:p>
    <w:p w14:paraId="4A387455">
      <w:pPr>
        <w:autoSpaceDE w:val="0"/>
        <w:autoSpaceDN w:val="0"/>
        <w:adjustRightInd w:val="0"/>
        <w:spacing w:line="360" w:lineRule="exact"/>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（二）评标依据：</w:t>
      </w:r>
      <w:r>
        <w:rPr>
          <w:rFonts w:hint="eastAsia" w:ascii="宋体" w:hAnsi="宋体" w:eastAsia="宋体" w:cs="宋体"/>
          <w:color w:val="auto"/>
          <w:sz w:val="24"/>
          <w:szCs w:val="24"/>
        </w:rPr>
        <w:t>评标委员会</w:t>
      </w:r>
      <w:r>
        <w:rPr>
          <w:rFonts w:hint="eastAsia" w:ascii="宋体" w:hAnsi="宋体" w:eastAsia="宋体" w:cs="宋体"/>
          <w:color w:val="auto"/>
          <w:sz w:val="24"/>
          <w:szCs w:val="24"/>
          <w:lang w:val="zh-CN"/>
        </w:rPr>
        <w:t>将以</w:t>
      </w:r>
      <w:r>
        <w:rPr>
          <w:rFonts w:hint="eastAsia" w:ascii="宋体" w:hAnsi="宋体" w:eastAsia="宋体" w:cs="宋体"/>
          <w:color w:val="auto"/>
          <w:sz w:val="24"/>
          <w:szCs w:val="24"/>
        </w:rPr>
        <w:t>招标</w:t>
      </w:r>
      <w:r>
        <w:rPr>
          <w:rFonts w:hint="eastAsia" w:ascii="宋体" w:hAnsi="宋体" w:eastAsia="宋体" w:cs="宋体"/>
          <w:color w:val="auto"/>
          <w:sz w:val="24"/>
          <w:szCs w:val="24"/>
          <w:lang w:val="zh-CN"/>
        </w:rPr>
        <w:t>文件为评标依据，对磋商供应商的价格、服务</w:t>
      </w:r>
      <w:r>
        <w:rPr>
          <w:rFonts w:hint="eastAsia" w:ascii="宋体" w:hAnsi="宋体" w:eastAsia="宋体" w:cs="宋体"/>
          <w:color w:val="auto"/>
          <w:sz w:val="24"/>
          <w:szCs w:val="24"/>
        </w:rPr>
        <w:t>方案</w:t>
      </w:r>
      <w:r>
        <w:rPr>
          <w:rFonts w:hint="eastAsia" w:ascii="宋体" w:hAnsi="宋体" w:eastAsia="宋体" w:cs="宋体"/>
          <w:color w:val="auto"/>
          <w:sz w:val="24"/>
          <w:szCs w:val="24"/>
          <w:lang w:val="zh-CN"/>
        </w:rPr>
        <w:t>、人员配备、</w:t>
      </w:r>
      <w:r>
        <w:rPr>
          <w:rFonts w:hint="eastAsia" w:ascii="宋体" w:hAnsi="宋体" w:eastAsia="宋体" w:cs="宋体"/>
          <w:color w:val="auto"/>
          <w:sz w:val="24"/>
          <w:szCs w:val="24"/>
        </w:rPr>
        <w:t>业绩</w:t>
      </w:r>
      <w:r>
        <w:rPr>
          <w:rFonts w:hint="eastAsia" w:ascii="宋体" w:hAnsi="宋体" w:eastAsia="宋体" w:cs="宋体"/>
          <w:color w:val="auto"/>
          <w:sz w:val="24"/>
          <w:szCs w:val="24"/>
          <w:lang w:val="zh-CN"/>
        </w:rPr>
        <w:t>等方面内容按百分制评分。</w:t>
      </w:r>
    </w:p>
    <w:p w14:paraId="72EF4D2B">
      <w:pPr>
        <w:autoSpaceDE w:val="0"/>
        <w:autoSpaceDN w:val="0"/>
        <w:adjustRightInd w:val="0"/>
        <w:spacing w:line="360" w:lineRule="exact"/>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（三）评标方式：以封闭方式进行。</w:t>
      </w:r>
    </w:p>
    <w:p w14:paraId="67CDC4D2">
      <w:pPr>
        <w:autoSpaceDE w:val="0"/>
        <w:autoSpaceDN w:val="0"/>
        <w:adjustRightInd w:val="0"/>
        <w:spacing w:line="360" w:lineRule="exact"/>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二、评标方法</w:t>
      </w:r>
    </w:p>
    <w:p w14:paraId="48BE2FF1">
      <w:pPr>
        <w:autoSpaceDE w:val="0"/>
        <w:autoSpaceDN w:val="0"/>
        <w:adjustRightInd w:val="0"/>
        <w:spacing w:line="360" w:lineRule="exact"/>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（一）对进入详评的，采用百分制综合评分法。</w:t>
      </w:r>
    </w:p>
    <w:p w14:paraId="57B18B4F">
      <w:pPr>
        <w:autoSpaceDE w:val="0"/>
        <w:autoSpaceDN w:val="0"/>
        <w:adjustRightInd w:val="0"/>
        <w:spacing w:line="360" w:lineRule="exact"/>
        <w:ind w:firstLine="480" w:firstLineChars="200"/>
        <w:jc w:val="left"/>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val="zh-CN"/>
        </w:rPr>
        <w:t>（二）计分办法（按四舍五入取至百分位）。</w:t>
      </w:r>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63"/>
        <w:gridCol w:w="1010"/>
        <w:gridCol w:w="5911"/>
        <w:gridCol w:w="696"/>
      </w:tblGrid>
      <w:tr w14:paraId="4F44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806" w:type="pct"/>
            <w:vAlign w:val="center"/>
          </w:tcPr>
          <w:p w14:paraId="6FE461C6">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3811" w:type="pct"/>
            <w:gridSpan w:val="2"/>
            <w:vAlign w:val="center"/>
          </w:tcPr>
          <w:p w14:paraId="2787E191">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评审因素具体内容</w:t>
            </w:r>
          </w:p>
        </w:tc>
        <w:tc>
          <w:tcPr>
            <w:tcW w:w="383" w:type="pct"/>
            <w:vAlign w:val="center"/>
          </w:tcPr>
          <w:p w14:paraId="22E53C3D">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分值</w:t>
            </w:r>
          </w:p>
        </w:tc>
      </w:tr>
      <w:tr w14:paraId="1B83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06" w:type="pct"/>
            <w:vAlign w:val="center"/>
          </w:tcPr>
          <w:p w14:paraId="6607CC64">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A.</w:t>
            </w:r>
            <w:r>
              <w:rPr>
                <w:rFonts w:hint="eastAsia" w:ascii="宋体" w:hAnsi="宋体" w:eastAsia="宋体" w:cs="宋体"/>
                <w:color w:val="auto"/>
                <w:sz w:val="24"/>
                <w:szCs w:val="24"/>
              </w:rPr>
              <w:t>投标报价</w:t>
            </w:r>
          </w:p>
          <w:p w14:paraId="186E8892">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（15分）</w:t>
            </w:r>
          </w:p>
        </w:tc>
        <w:tc>
          <w:tcPr>
            <w:tcW w:w="556" w:type="pct"/>
            <w:vAlign w:val="center"/>
          </w:tcPr>
          <w:p w14:paraId="59690AAB">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3255" w:type="pct"/>
            <w:vAlign w:val="center"/>
          </w:tcPr>
          <w:p w14:paraId="2DCB22C8">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c>
          <w:tcPr>
            <w:tcW w:w="383" w:type="pct"/>
            <w:vAlign w:val="center"/>
          </w:tcPr>
          <w:p w14:paraId="65021245">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15</w:t>
            </w:r>
            <w:r>
              <w:rPr>
                <w:rFonts w:hint="eastAsia" w:ascii="宋体" w:hAnsi="宋体" w:eastAsia="宋体" w:cs="宋体"/>
                <w:color w:val="auto"/>
                <w:sz w:val="24"/>
                <w:szCs w:val="24"/>
              </w:rPr>
              <w:t>分</w:t>
            </w:r>
          </w:p>
        </w:tc>
      </w:tr>
      <w:tr w14:paraId="7F32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4" w:hRule="atLeast"/>
          <w:jc w:val="center"/>
        </w:trPr>
        <w:tc>
          <w:tcPr>
            <w:tcW w:w="806" w:type="pct"/>
            <w:vMerge w:val="restart"/>
            <w:vAlign w:val="center"/>
          </w:tcPr>
          <w:p w14:paraId="100E5CE9">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B.</w:t>
            </w:r>
            <w:r>
              <w:rPr>
                <w:rFonts w:hint="eastAsia" w:ascii="宋体" w:hAnsi="宋体" w:eastAsia="宋体" w:cs="宋体"/>
                <w:color w:val="auto"/>
                <w:sz w:val="24"/>
                <w:szCs w:val="24"/>
              </w:rPr>
              <w:t>技术分</w:t>
            </w:r>
          </w:p>
          <w:p w14:paraId="28DF79DC">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（65分）</w:t>
            </w:r>
          </w:p>
        </w:tc>
        <w:tc>
          <w:tcPr>
            <w:tcW w:w="556" w:type="pct"/>
            <w:vAlign w:val="center"/>
          </w:tcPr>
          <w:p w14:paraId="1E7B483C">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bookmarkStart w:id="0" w:name="OLE_LINK4"/>
            <w:r>
              <w:rPr>
                <w:rFonts w:hint="eastAsia" w:ascii="宋体" w:hAnsi="宋体" w:eastAsia="宋体" w:cs="宋体"/>
                <w:color w:val="auto"/>
                <w:sz w:val="24"/>
                <w:szCs w:val="24"/>
                <w:lang w:eastAsia="zh-CN"/>
              </w:rPr>
              <w:t>功能</w:t>
            </w:r>
            <w:r>
              <w:rPr>
                <w:rFonts w:hint="eastAsia" w:ascii="宋体" w:hAnsi="宋体" w:eastAsia="宋体" w:cs="宋体"/>
                <w:color w:val="auto"/>
                <w:sz w:val="24"/>
                <w:szCs w:val="24"/>
              </w:rPr>
              <w:t>演示</w:t>
            </w:r>
            <w:bookmarkEnd w:id="0"/>
          </w:p>
        </w:tc>
        <w:tc>
          <w:tcPr>
            <w:tcW w:w="3255" w:type="pct"/>
            <w:vAlign w:val="center"/>
          </w:tcPr>
          <w:p w14:paraId="7A8EF152">
            <w:pPr>
              <w:pStyle w:val="10"/>
              <w:keepNext w:val="0"/>
              <w:keepLines w:val="0"/>
              <w:pageBreakBefore w:val="0"/>
              <w:kinsoku/>
              <w:wordWrap/>
              <w:overflowPunct/>
              <w:topLinePunct w:val="0"/>
              <w:bidi w:val="0"/>
              <w:adjustRightInd/>
              <w:snapToGrid/>
              <w:spacing w:line="280" w:lineRule="exact"/>
              <w:textAlignment w:val="auto"/>
              <w:rPr>
                <w:rFonts w:hint="eastAsia" w:ascii="宋体" w:hAnsi="宋体" w:eastAsia="宋体" w:cs="宋体"/>
                <w:color w:val="auto"/>
                <w:sz w:val="24"/>
                <w:szCs w:val="24"/>
                <w:lang w:eastAsia="zh-CN"/>
              </w:rPr>
            </w:pPr>
            <w:bookmarkStart w:id="1" w:name="_Hlk209088127"/>
            <w:r>
              <w:rPr>
                <w:rFonts w:hint="eastAsia" w:ascii="宋体" w:hAnsi="宋体" w:eastAsia="宋体" w:cs="宋体"/>
                <w:color w:val="auto"/>
                <w:sz w:val="24"/>
                <w:szCs w:val="24"/>
                <w:lang w:eastAsia="zh-CN"/>
              </w:rPr>
              <w:t>一、演示要求</w:t>
            </w:r>
          </w:p>
          <w:p w14:paraId="58CCDA96">
            <w:pPr>
              <w:pStyle w:val="10"/>
              <w:keepNext w:val="0"/>
              <w:keepLines w:val="0"/>
              <w:pageBreakBefore w:val="0"/>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zh-TW" w:eastAsia="zh-CN"/>
              </w:rPr>
              <w:t>竞标时，</w:t>
            </w:r>
            <w:r>
              <w:rPr>
                <w:rFonts w:hint="eastAsia" w:ascii="宋体" w:hAnsi="宋体" w:eastAsia="宋体" w:cs="宋体"/>
                <w:color w:val="auto"/>
                <w:sz w:val="24"/>
                <w:szCs w:val="24"/>
                <w:lang w:eastAsia="zh-CN"/>
              </w:rPr>
              <w:t>对如下内容进行演示</w:t>
            </w:r>
            <w:r>
              <w:rPr>
                <w:rFonts w:hint="eastAsia" w:ascii="宋体" w:hAnsi="宋体" w:eastAsia="宋体" w:cs="宋体"/>
                <w:color w:val="auto"/>
                <w:sz w:val="24"/>
                <w:szCs w:val="24"/>
                <w:lang w:val="zh-TW" w:eastAsia="zh-CN"/>
              </w:rPr>
              <w:t>，评委根据演示内容与要求的匹配性进行打分，每演示1项</w:t>
            </w:r>
            <w:r>
              <w:rPr>
                <w:rFonts w:hint="eastAsia" w:ascii="宋体" w:hAnsi="宋体" w:eastAsia="宋体" w:cs="宋体"/>
                <w:color w:val="auto"/>
                <w:sz w:val="24"/>
                <w:szCs w:val="24"/>
                <w:lang w:eastAsia="zh-CN"/>
              </w:rPr>
              <w:t>完整功能</w:t>
            </w:r>
            <w:r>
              <w:rPr>
                <w:rFonts w:hint="eastAsia" w:ascii="宋体" w:hAnsi="宋体" w:eastAsia="宋体" w:cs="宋体"/>
                <w:color w:val="auto"/>
                <w:sz w:val="24"/>
                <w:szCs w:val="24"/>
                <w:lang w:val="zh-TW" w:eastAsia="zh-CN"/>
              </w:rPr>
              <w:t>得</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lang w:val="zh-TW" w:eastAsia="zh-CN"/>
              </w:rPr>
              <w:t>分，不演示或演示</w:t>
            </w:r>
            <w:r>
              <w:rPr>
                <w:rFonts w:hint="eastAsia" w:ascii="宋体" w:hAnsi="宋体" w:eastAsia="宋体" w:cs="宋体"/>
                <w:color w:val="auto"/>
                <w:sz w:val="24"/>
                <w:szCs w:val="24"/>
                <w:lang w:eastAsia="zh-CN"/>
              </w:rPr>
              <w:t>不全者</w:t>
            </w:r>
            <w:r>
              <w:rPr>
                <w:rFonts w:hint="eastAsia" w:ascii="宋体" w:hAnsi="宋体" w:eastAsia="宋体" w:cs="宋体"/>
                <w:color w:val="auto"/>
                <w:sz w:val="24"/>
                <w:szCs w:val="24"/>
                <w:lang w:val="zh-TW" w:eastAsia="zh-CN"/>
              </w:rPr>
              <w:t>不得分，本项最高得2</w:t>
            </w:r>
            <w:r>
              <w:rPr>
                <w:rFonts w:hint="eastAsia" w:ascii="宋体" w:hAnsi="宋体" w:eastAsia="宋体" w:cs="宋体"/>
                <w:color w:val="auto"/>
                <w:sz w:val="24"/>
                <w:szCs w:val="24"/>
                <w:lang w:val="zh-TW" w:eastAsia="zh-TW"/>
              </w:rPr>
              <w:t>5</w:t>
            </w:r>
            <w:r>
              <w:rPr>
                <w:rFonts w:hint="eastAsia" w:ascii="宋体" w:hAnsi="宋体" w:eastAsia="宋体" w:cs="宋体"/>
                <w:color w:val="auto"/>
                <w:sz w:val="24"/>
                <w:szCs w:val="24"/>
                <w:lang w:val="zh-TW" w:eastAsia="zh-CN"/>
              </w:rPr>
              <w:t>分。</w:t>
            </w:r>
          </w:p>
          <w:p w14:paraId="45EA99D0">
            <w:pPr>
              <w:pStyle w:val="10"/>
              <w:keepNext w:val="0"/>
              <w:keepLines w:val="0"/>
              <w:pageBreakBefore w:val="0"/>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zh-TW" w:eastAsia="zh-CN"/>
              </w:rPr>
              <w:t>演示所用到的软硬件设备由投标人自理，每家投标人演示时间不超过</w:t>
            </w:r>
            <w:r>
              <w:rPr>
                <w:rFonts w:hint="eastAsia" w:ascii="宋体" w:hAnsi="宋体" w:eastAsia="宋体" w:cs="宋体"/>
                <w:color w:val="auto"/>
                <w:sz w:val="24"/>
                <w:szCs w:val="24"/>
                <w:lang w:eastAsia="zh-CN"/>
              </w:rPr>
              <w:t>15</w:t>
            </w:r>
            <w:r>
              <w:rPr>
                <w:rFonts w:hint="eastAsia" w:ascii="宋体" w:hAnsi="宋体" w:eastAsia="宋体" w:cs="宋体"/>
                <w:color w:val="auto"/>
                <w:sz w:val="24"/>
                <w:szCs w:val="24"/>
                <w:lang w:val="zh-TW" w:eastAsia="zh-CN"/>
              </w:rPr>
              <w:t>分钟。（</w:t>
            </w:r>
            <w:r>
              <w:rPr>
                <w:rFonts w:hint="eastAsia" w:ascii="宋体" w:hAnsi="宋体" w:eastAsia="宋体" w:cs="宋体"/>
                <w:color w:val="auto"/>
                <w:sz w:val="24"/>
                <w:szCs w:val="24"/>
                <w:lang w:eastAsia="zh-CN"/>
              </w:rPr>
              <w:t>本项演示资料以视频、图片、文档形式将资料发送到指定邮箱</w:t>
            </w:r>
            <w:r>
              <w:rPr>
                <w:rFonts w:hint="eastAsia" w:ascii="宋体" w:hAnsi="宋体" w:eastAsia="宋体" w:cs="宋体"/>
                <w:color w:val="auto"/>
                <w:sz w:val="24"/>
                <w:szCs w:val="24"/>
                <w:lang w:val="zh-TW" w:eastAsia="zh-CN"/>
              </w:rPr>
              <w:t>）</w:t>
            </w:r>
          </w:p>
          <w:p w14:paraId="541B9AED">
            <w:pPr>
              <w:pStyle w:val="10"/>
              <w:keepNext w:val="0"/>
              <w:keepLines w:val="0"/>
              <w:pageBreakBefore w:val="0"/>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二、分项演示评分细则</w:t>
            </w:r>
          </w:p>
          <w:p w14:paraId="4213522F">
            <w:pPr>
              <w:pStyle w:val="10"/>
              <w:keepNext w:val="0"/>
              <w:keepLines w:val="0"/>
              <w:pageBreakBefore w:val="0"/>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1.演示AI智能诊断（3分）</w:t>
            </w:r>
          </w:p>
          <w:p w14:paraId="780056CD">
            <w:pPr>
              <w:pStyle w:val="10"/>
              <w:keepNext w:val="0"/>
              <w:keepLines w:val="0"/>
              <w:pageBreakBefore w:val="0"/>
              <w:kinsoku/>
              <w:wordWrap/>
              <w:overflowPunct/>
              <w:topLinePunct w:val="0"/>
              <w:bidi w:val="0"/>
              <w:adjustRightInd/>
              <w:snapToGrid/>
              <w:spacing w:line="280" w:lineRule="exact"/>
              <w:ind w:firstLine="480" w:firstLineChars="200"/>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基于知识图谱，平台在学习课程前针对学生专业课程认知水平进行初步诊断，自动出题检测作答，检测结果智能诊断分析生成个人诊断报告，至少包含掌握度百分比、不同层次掌握程度、薄弱知识点分析、雷达图分析等，并根据诊断情况AI推送个性化学习内容。</w:t>
            </w:r>
          </w:p>
          <w:p w14:paraId="00B31CC0">
            <w:pPr>
              <w:pStyle w:val="10"/>
              <w:keepNext w:val="0"/>
              <w:keepLines w:val="0"/>
              <w:pageBreakBefore w:val="0"/>
              <w:kinsoku/>
              <w:wordWrap/>
              <w:overflowPunct/>
              <w:topLinePunct w:val="0"/>
              <w:bidi w:val="0"/>
              <w:adjustRightInd/>
              <w:snapToGrid/>
              <w:spacing w:line="280" w:lineRule="exact"/>
              <w:ind w:firstLine="480" w:firstLineChars="200"/>
              <w:textAlignment w:val="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CN"/>
              </w:rPr>
              <w:t>提前录屏发邮箱判断演示效果</w:t>
            </w:r>
          </w:p>
          <w:p w14:paraId="3952E908">
            <w:pPr>
              <w:pStyle w:val="10"/>
              <w:keepNext w:val="0"/>
              <w:keepLines w:val="0"/>
              <w:pageBreakBefore w:val="0"/>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2.演示学习仪表盘（2分）</w:t>
            </w:r>
          </w:p>
          <w:p w14:paraId="3CC2B172">
            <w:pPr>
              <w:pStyle w:val="10"/>
              <w:keepNext w:val="0"/>
              <w:keepLines w:val="0"/>
              <w:pageBreakBefore w:val="0"/>
              <w:kinsoku/>
              <w:wordWrap/>
              <w:overflowPunct/>
              <w:topLinePunct w:val="0"/>
              <w:bidi w:val="0"/>
              <w:adjustRightInd/>
              <w:snapToGrid/>
              <w:spacing w:line="280" w:lineRule="exact"/>
              <w:ind w:firstLine="480" w:firstLineChars="200"/>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通过学习仪表盘，反馈学习者对“学习进度、掌握程度、学习效果、学习内容”等的表现，进而智能推送“学习策略”，至少包含 学习时长、学习进度、掌握程度、知识图谱展示（按掌握程度不同颜色标识分布、掌握情况数据分析、AI学习）、学习概览（按日、周、月不同维度分析）、初步诊断等不同维度分析。</w:t>
            </w:r>
          </w:p>
          <w:p w14:paraId="7879FAB9">
            <w:pPr>
              <w:pStyle w:val="10"/>
              <w:keepNext w:val="0"/>
              <w:keepLines w:val="0"/>
              <w:pageBreakBefore w:val="0"/>
              <w:kinsoku/>
              <w:wordWrap/>
              <w:overflowPunct/>
              <w:topLinePunct w:val="0"/>
              <w:bidi w:val="0"/>
              <w:adjustRightInd/>
              <w:snapToGrid/>
              <w:spacing w:line="280" w:lineRule="exact"/>
              <w:ind w:firstLine="480" w:firstLineChars="200"/>
              <w:textAlignment w:val="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CN"/>
              </w:rPr>
              <w:t>提前录屏发邮箱判断演示效果</w:t>
            </w:r>
          </w:p>
          <w:p w14:paraId="141E3E94">
            <w:pPr>
              <w:pStyle w:val="10"/>
              <w:keepNext w:val="0"/>
              <w:keepLines w:val="0"/>
              <w:pageBreakBefore w:val="0"/>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3.专业体系与课程思政图谱提供（5分）</w:t>
            </w:r>
          </w:p>
          <w:p w14:paraId="67537746">
            <w:pPr>
              <w:pStyle w:val="10"/>
              <w:keepNext w:val="0"/>
              <w:keepLines w:val="0"/>
              <w:pageBreakBefore w:val="0"/>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（1）提供机电一体化专业组群逻辑关系体系架构图，需清晰呈现专业核心课程、基础课程、拓展课程之间的关联，以及课程与实训项目、岗位需求的对应关系；（3分</w:t>
            </w:r>
          </w:p>
          <w:p w14:paraId="0813AB86">
            <w:pPr>
              <w:pStyle w:val="10"/>
              <w:keepNext w:val="0"/>
              <w:keepLines w:val="0"/>
              <w:pageBreakBefore w:val="0"/>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bookmarkStart w:id="15" w:name="_GoBack"/>
            <w:r>
              <w:rPr>
                <w:rFonts w:hint="eastAsia" w:ascii="宋体" w:hAnsi="宋体" w:eastAsia="宋体" w:cs="宋体"/>
                <w:color w:val="auto"/>
                <w:sz w:val="24"/>
                <w:szCs w:val="24"/>
                <w:lang w:val="zh-TW" w:eastAsia="zh-CN"/>
              </w:rPr>
              <w:t>）</w:t>
            </w:r>
            <w:bookmarkEnd w:id="15"/>
          </w:p>
          <w:p w14:paraId="75A7E727">
            <w:pPr>
              <w:pStyle w:val="10"/>
              <w:keepNext w:val="0"/>
              <w:keepLines w:val="0"/>
              <w:pageBreakBefore w:val="0"/>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（2）绘制广西壮族自治区机电一体化专业相关产业岗位能力图谱，需覆盖广西本地重点相关产业，明确岗位名称及对应岗位所需的核心能力；（</w:t>
            </w:r>
            <w:r>
              <w:rPr>
                <w:rFonts w:hint="eastAsia" w:ascii="宋体" w:hAnsi="宋体" w:eastAsia="宋体" w:cs="宋体"/>
                <w:color w:val="auto"/>
                <w:sz w:val="24"/>
                <w:szCs w:val="24"/>
                <w:lang w:val="zh-TW" w:eastAsia="zh-TW"/>
              </w:rPr>
              <w:t>1</w:t>
            </w:r>
            <w:r>
              <w:rPr>
                <w:rFonts w:hint="eastAsia" w:ascii="宋体" w:hAnsi="宋体" w:eastAsia="宋体" w:cs="宋体"/>
                <w:color w:val="auto"/>
                <w:sz w:val="24"/>
                <w:szCs w:val="24"/>
                <w:lang w:val="zh-TW" w:eastAsia="zh-CN"/>
              </w:rPr>
              <w:t>分）</w:t>
            </w:r>
          </w:p>
          <w:p w14:paraId="455BBB34">
            <w:pPr>
              <w:pStyle w:val="10"/>
              <w:keepNext w:val="0"/>
              <w:keepLines w:val="0"/>
              <w:pageBreakBefore w:val="0"/>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3）《机电设备现场安装与调试》《机电设备整机综合调试》《自动化设备电气系统安装与调试》三门课程中任选一门，绘制课程思政图谱，需明确课程各章节思政融入点、思政教育目标、融入方式及思政资源。（</w:t>
            </w:r>
            <w:r>
              <w:rPr>
                <w:rFonts w:hint="eastAsia" w:ascii="宋体" w:hAnsi="宋体" w:eastAsia="宋体" w:cs="宋体"/>
                <w:color w:val="auto"/>
                <w:sz w:val="24"/>
                <w:szCs w:val="24"/>
                <w:lang w:val="zh-TW" w:eastAsia="zh-TW"/>
              </w:rPr>
              <w:t>1</w:t>
            </w:r>
            <w:r>
              <w:rPr>
                <w:rFonts w:hint="eastAsia" w:ascii="宋体" w:hAnsi="宋体" w:eastAsia="宋体" w:cs="宋体"/>
                <w:color w:val="auto"/>
                <w:sz w:val="24"/>
                <w:szCs w:val="24"/>
                <w:lang w:val="zh-TW" w:eastAsia="zh-CN"/>
              </w:rPr>
              <w:t>分）</w:t>
            </w:r>
          </w:p>
          <w:p w14:paraId="6B29936D">
            <w:pPr>
              <w:pStyle w:val="10"/>
              <w:keepNext w:val="0"/>
              <w:keepLines w:val="0"/>
              <w:pageBreakBefore w:val="0"/>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​按要求提供上述 3 类内容，且内容完整、逻辑清晰、贴合广西产业及课程实际的得10 分；缺任意1类图谱或图谱内容不符合要求的不得分。</w:t>
            </w:r>
          </w:p>
          <w:p w14:paraId="3509BF20">
            <w:pPr>
              <w:pStyle w:val="10"/>
              <w:keepNext w:val="0"/>
              <w:keepLines w:val="0"/>
              <w:pageBreakBefore w:val="0"/>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4.机电相关高质量视频提供（5 分）</w:t>
            </w:r>
          </w:p>
          <w:p w14:paraId="51F5F249">
            <w:pPr>
              <w:pStyle w:val="10"/>
              <w:keepNext w:val="0"/>
              <w:keepLines w:val="0"/>
              <w:pageBreakBefore w:val="0"/>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（1）需提交 2 个机电相关高质量视频，分别为实操视频、理论视频，每个视频时长不少于3 分钟。</w:t>
            </w:r>
          </w:p>
          <w:p w14:paraId="635CB52E">
            <w:pPr>
              <w:pStyle w:val="10"/>
              <w:keepNext w:val="0"/>
              <w:keepLines w:val="0"/>
              <w:pageBreakBefore w:val="0"/>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（2）评分维度（共 5 个方面，每项 1 分，总分 5 分）：</w:t>
            </w:r>
          </w:p>
          <w:p w14:paraId="769F9DAB">
            <w:pPr>
              <w:pStyle w:val="10"/>
              <w:keepNext w:val="0"/>
              <w:keepLines w:val="0"/>
              <w:pageBreakBefore w:val="0"/>
              <w:numPr>
                <w:ilvl w:val="0"/>
                <w:numId w:val="1"/>
              </w:numPr>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内容设计：贴合机电专业核心知识点 / 实操技能，逻辑清晰，重点突出，无知识点错误；​</w:t>
            </w:r>
          </w:p>
          <w:p w14:paraId="6470A1E7">
            <w:pPr>
              <w:pStyle w:val="10"/>
              <w:keepNext w:val="0"/>
              <w:keepLines w:val="0"/>
              <w:pageBreakBefore w:val="0"/>
              <w:numPr>
                <w:ilvl w:val="0"/>
                <w:numId w:val="1"/>
              </w:numPr>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课程版式：画面布局合理，字幕清晰，片头片尾规范；</w:t>
            </w:r>
          </w:p>
          <w:p w14:paraId="500013A0">
            <w:pPr>
              <w:pStyle w:val="10"/>
              <w:keepNext w:val="0"/>
              <w:keepLines w:val="0"/>
              <w:pageBreakBefore w:val="0"/>
              <w:numPr>
                <w:ilvl w:val="0"/>
                <w:numId w:val="1"/>
              </w:numPr>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课程效果：能有效辅助学习者理解知识 / 掌握技能；</w:t>
            </w:r>
          </w:p>
          <w:p w14:paraId="2DFDD2DE">
            <w:pPr>
              <w:pStyle w:val="10"/>
              <w:keepNext w:val="0"/>
              <w:keepLines w:val="0"/>
              <w:pageBreakBefore w:val="0"/>
              <w:numPr>
                <w:ilvl w:val="0"/>
                <w:numId w:val="1"/>
              </w:numPr>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画面质量：画面清晰（分辨率不低于 720P），色彩正常，无抖动、卡顿，实操场景光线充足；​</w:t>
            </w:r>
          </w:p>
          <w:p w14:paraId="7D8F5E25">
            <w:pPr>
              <w:pStyle w:val="10"/>
              <w:keepNext w:val="0"/>
              <w:keepLines w:val="0"/>
              <w:pageBreakBefore w:val="0"/>
              <w:numPr>
                <w:ilvl w:val="0"/>
                <w:numId w:val="1"/>
              </w:numPr>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音频质量：声音清晰无杂音、无失真，语速适中，配音标准，重要操作 / 知识点有语音强调。</w:t>
            </w:r>
          </w:p>
          <w:p w14:paraId="001BA6EF">
            <w:pPr>
              <w:pStyle w:val="10"/>
              <w:keepNext w:val="0"/>
              <w:keepLines w:val="0"/>
              <w:pageBreakBefore w:val="0"/>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（3）评分标准：2 个视频均符合要求，且 5 个维度评分均达标的得 5 分；任意 1 个视频不符合要求（如缺实操 / 理论类别、某维度严重不达标）的不得分。</w:t>
            </w:r>
          </w:p>
          <w:p w14:paraId="45AC4505">
            <w:pPr>
              <w:pStyle w:val="10"/>
              <w:keepNext w:val="0"/>
              <w:keepLines w:val="0"/>
              <w:pageBreakBefore w:val="0"/>
              <w:kinsoku/>
              <w:wordWrap/>
              <w:overflowPunct/>
              <w:topLinePunct w:val="0"/>
              <w:bidi w:val="0"/>
              <w:adjustRightInd/>
              <w:snapToGrid/>
              <w:spacing w:line="280" w:lineRule="exact"/>
              <w:ind w:firstLine="480" w:firstLineChars="200"/>
              <w:textAlignment w:val="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CN"/>
              </w:rPr>
              <w:t>提前把相关材料发邮箱</w:t>
            </w:r>
          </w:p>
          <w:p w14:paraId="3FDFCB1B">
            <w:pPr>
              <w:pStyle w:val="10"/>
              <w:keepNext w:val="0"/>
              <w:keepLines w:val="0"/>
              <w:pageBreakBefore w:val="0"/>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 xml:space="preserve">5.机电相关高质量动画提供（5 分） </w:t>
            </w:r>
          </w:p>
          <w:p w14:paraId="077FB211">
            <w:pPr>
              <w:pStyle w:val="10"/>
              <w:keepNext w:val="0"/>
              <w:keepLines w:val="0"/>
              <w:pageBreakBefore w:val="0"/>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eastAsia="zh-CN"/>
              </w:rPr>
              <w:t>1</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eastAsia="zh-CN"/>
              </w:rPr>
              <w:t>需提交 2 个机电相关高质量动画，分别为交互动画（热键响应式）、演示动画，演示动画时长不少于 30 秒。</w:t>
            </w:r>
          </w:p>
          <w:p w14:paraId="48DEDD37">
            <w:pPr>
              <w:pStyle w:val="10"/>
              <w:keepNext w:val="0"/>
              <w:keepLines w:val="0"/>
              <w:pageBreakBefore w:val="0"/>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eastAsia="zh-CN"/>
              </w:rPr>
              <w:t>2</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eastAsia="zh-CN"/>
              </w:rPr>
              <w:t>评分维度（共 5 个方面，每项 1 分，总分 5 分）：</w:t>
            </w:r>
          </w:p>
          <w:p w14:paraId="28D952CF">
            <w:pPr>
              <w:pStyle w:val="10"/>
              <w:keepNext w:val="0"/>
              <w:keepLines w:val="0"/>
              <w:pageBreakBefore w:val="0"/>
              <w:numPr>
                <w:ilvl w:val="0"/>
                <w:numId w:val="2"/>
              </w:numPr>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内容设计：贴合机电专业重难点，内容准确，能直观呈现抽象知识 / 复杂流程；</w:t>
            </w:r>
          </w:p>
          <w:p w14:paraId="344AA225">
            <w:pPr>
              <w:pStyle w:val="10"/>
              <w:keepNext w:val="0"/>
              <w:keepLines w:val="0"/>
              <w:pageBreakBefore w:val="0"/>
              <w:numPr>
                <w:ilvl w:val="0"/>
                <w:numId w:val="2"/>
              </w:numPr>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课程版式：界面简洁友好，元素布局合理，色彩搭配适配内容，无多余干扰元素；​</w:t>
            </w:r>
          </w:p>
          <w:p w14:paraId="2E3B4234">
            <w:pPr>
              <w:pStyle w:val="10"/>
              <w:keepNext w:val="0"/>
              <w:keepLines w:val="0"/>
              <w:pageBreakBefore w:val="0"/>
              <w:numPr>
                <w:ilvl w:val="0"/>
                <w:numId w:val="2"/>
              </w:numPr>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课程效果：能帮助学习者快速理解核心内容；​</w:t>
            </w:r>
          </w:p>
          <w:p w14:paraId="326799C9">
            <w:pPr>
              <w:pStyle w:val="10"/>
              <w:keepNext w:val="0"/>
              <w:keepLines w:val="0"/>
              <w:pageBreakBefore w:val="0"/>
              <w:numPr>
                <w:ilvl w:val="0"/>
                <w:numId w:val="2"/>
              </w:numPr>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交互体验（交互动画）/ 流畅度（演示动画）：交互动画响应及时，操作逻辑清晰，演示动画播放流畅，无卡顿、画面断层；​</w:t>
            </w:r>
          </w:p>
          <w:p w14:paraId="4B838624">
            <w:pPr>
              <w:pStyle w:val="10"/>
              <w:keepNext w:val="0"/>
              <w:keepLines w:val="0"/>
              <w:pageBreakBefore w:val="0"/>
              <w:numPr>
                <w:ilvl w:val="0"/>
                <w:numId w:val="2"/>
              </w:numPr>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技术适配：动画格式兼容主流设备SWF、MP4，无需额外安装复杂插件即可运行，画面尺寸适配常见屏幕</w:t>
            </w:r>
          </w:p>
          <w:p w14:paraId="2BFF7DC0">
            <w:pPr>
              <w:pStyle w:val="10"/>
              <w:keepNext w:val="0"/>
              <w:keepLines w:val="0"/>
              <w:pageBreakBefore w:val="0"/>
              <w:kinsoku/>
              <w:wordWrap/>
              <w:overflowPunct/>
              <w:topLinePunct w:val="0"/>
              <w:bidi w:val="0"/>
              <w:adjustRightInd/>
              <w:snapToGrid/>
              <w:spacing w:line="28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eastAsia="zh-CN"/>
              </w:rPr>
              <w:t>3</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eastAsia="zh-CN"/>
              </w:rPr>
              <w:t>评分标准：2 个动画均符合要求，且 5 个维度评分均达标的得 5 分；任意 1 个动画不符合要求（如缺交互 / 演示类别、交互功能失效）的不得分。</w:t>
            </w:r>
            <w:bookmarkEnd w:id="1"/>
          </w:p>
          <w:p w14:paraId="0FBDEFEB">
            <w:pPr>
              <w:pStyle w:val="10"/>
              <w:keepNext w:val="0"/>
              <w:keepLines w:val="0"/>
              <w:pageBreakBefore w:val="0"/>
              <w:kinsoku/>
              <w:wordWrap/>
              <w:overflowPunct/>
              <w:topLinePunct w:val="0"/>
              <w:bidi w:val="0"/>
              <w:adjustRightInd/>
              <w:snapToGrid/>
              <w:spacing w:line="280" w:lineRule="exact"/>
              <w:ind w:firstLine="480" w:firstLineChars="200"/>
              <w:textAlignment w:val="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CN"/>
              </w:rPr>
              <w:t>按要求把相关材料及视频发邮箱</w:t>
            </w:r>
          </w:p>
        </w:tc>
        <w:tc>
          <w:tcPr>
            <w:tcW w:w="383" w:type="pct"/>
            <w:vAlign w:val="center"/>
          </w:tcPr>
          <w:p w14:paraId="04A9BFE0">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20分</w:t>
            </w:r>
          </w:p>
        </w:tc>
      </w:tr>
      <w:tr w14:paraId="665A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06" w:type="pct"/>
            <w:vMerge w:val="continue"/>
            <w:vAlign w:val="center"/>
          </w:tcPr>
          <w:p w14:paraId="5397FC4D">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lang w:eastAsia="zh-CN"/>
              </w:rPr>
            </w:pPr>
          </w:p>
        </w:tc>
        <w:tc>
          <w:tcPr>
            <w:tcW w:w="556" w:type="pct"/>
            <w:vAlign w:val="center"/>
          </w:tcPr>
          <w:p w14:paraId="08B6EE51">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r>
              <w:rPr>
                <w:rFonts w:hint="eastAsia" w:ascii="宋体" w:hAnsi="宋体" w:eastAsia="宋体" w:cs="宋体"/>
                <w:color w:val="auto"/>
                <w:sz w:val="24"/>
                <w:szCs w:val="24"/>
                <w:lang w:eastAsia="zh-CN"/>
              </w:rPr>
              <w:t>实施</w:t>
            </w:r>
            <w:r>
              <w:rPr>
                <w:rFonts w:hint="eastAsia" w:ascii="宋体" w:hAnsi="宋体" w:eastAsia="宋体" w:cs="宋体"/>
                <w:color w:val="auto"/>
                <w:sz w:val="24"/>
                <w:szCs w:val="24"/>
              </w:rPr>
              <w:t>方案</w:t>
            </w:r>
          </w:p>
        </w:tc>
        <w:tc>
          <w:tcPr>
            <w:tcW w:w="3255" w:type="pct"/>
            <w:vAlign w:val="center"/>
          </w:tcPr>
          <w:p w14:paraId="6CE152D2">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项目实施方案包括但不限于项目进度计划、团队分工与协作、场地与资源调度、沟通与验收管理、风险管理与预案等内容，该项共15分，分值精确到小数点后1位。</w:t>
            </w:r>
          </w:p>
          <w:p w14:paraId="1B332160">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甘特图精确，标注关键路径与缓冲时间，进度安排科学合理；角色职责清晰，协作机制完善；场地与设备清单完整，应急替代方案明确；设立阶段性验收节点，沟通频率量化；相关项目实施案例和佐证。能清晰概述整个实施过程；风险管理：列出关键风险，每项对应具体对策。</w:t>
            </w:r>
            <w:r>
              <w:rPr>
                <w:rFonts w:hint="eastAsia" w:ascii="宋体" w:hAnsi="宋体" w:eastAsia="宋体" w:cs="宋体"/>
                <w:b/>
                <w:bCs/>
                <w:color w:val="auto"/>
                <w:sz w:val="24"/>
                <w:szCs w:val="24"/>
                <w:lang w:eastAsia="zh-CN"/>
              </w:rPr>
              <w:t>得</w:t>
            </w:r>
            <w:r>
              <w:rPr>
                <w:rFonts w:hint="eastAsia" w:ascii="宋体" w:hAnsi="宋体" w:eastAsia="宋体" w:cs="宋体"/>
                <w:b/>
                <w:bCs/>
                <w:color w:val="auto"/>
                <w:sz w:val="24"/>
                <w:szCs w:val="24"/>
                <w:lang w:val="en-US" w:eastAsia="zh-CN"/>
              </w:rPr>
              <w:t>10.1～</w:t>
            </w:r>
            <w:r>
              <w:rPr>
                <w:rFonts w:hint="eastAsia" w:ascii="宋体" w:hAnsi="宋体" w:eastAsia="宋体" w:cs="宋体"/>
                <w:b/>
                <w:bCs/>
                <w:color w:val="auto"/>
                <w:sz w:val="24"/>
                <w:szCs w:val="24"/>
                <w:lang w:eastAsia="zh-CN"/>
              </w:rPr>
              <w:t>15分。</w:t>
            </w:r>
          </w:p>
          <w:p w14:paraId="139426AF">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甘特图完整，未标注依赖关系或缓冲时间；岗位分工明确但协作机制较笼统；场地与设备有基本安排，但无备用方案或量化细节；验收流程存在但未分级，沟通计划未量化；项目实施案例和佐证不完整，不能清晰概述整个实施过程；提及风险但对策较模糊。</w:t>
            </w:r>
            <w:r>
              <w:rPr>
                <w:rFonts w:hint="eastAsia" w:ascii="宋体" w:hAnsi="宋体" w:eastAsia="宋体" w:cs="宋体"/>
                <w:b/>
                <w:bCs/>
                <w:color w:val="auto"/>
                <w:sz w:val="24"/>
                <w:szCs w:val="24"/>
                <w:lang w:eastAsia="zh-CN"/>
              </w:rPr>
              <w:t>得</w:t>
            </w:r>
            <w:r>
              <w:rPr>
                <w:rFonts w:hint="eastAsia" w:ascii="宋体" w:hAnsi="宋体" w:eastAsia="宋体" w:cs="宋体"/>
                <w:b/>
                <w:bCs/>
                <w:color w:val="auto"/>
                <w:sz w:val="24"/>
                <w:szCs w:val="24"/>
                <w:lang w:val="en-US" w:eastAsia="zh-CN"/>
              </w:rPr>
              <w:t>5.1～</w:t>
            </w:r>
            <w:r>
              <w:rPr>
                <w:rFonts w:hint="eastAsia" w:ascii="宋体" w:hAnsi="宋体" w:eastAsia="宋体" w:cs="宋体"/>
                <w:b/>
                <w:bCs/>
                <w:color w:val="auto"/>
                <w:sz w:val="24"/>
                <w:szCs w:val="24"/>
                <w:lang w:eastAsia="zh-CN"/>
              </w:rPr>
              <w:t>10分</w:t>
            </w:r>
            <w:r>
              <w:rPr>
                <w:rFonts w:hint="eastAsia" w:ascii="宋体" w:hAnsi="宋体" w:eastAsia="宋体" w:cs="宋体"/>
                <w:color w:val="auto"/>
                <w:sz w:val="24"/>
                <w:szCs w:val="24"/>
                <w:lang w:eastAsia="zh-CN"/>
              </w:rPr>
              <w:t>。</w:t>
            </w:r>
          </w:p>
          <w:p w14:paraId="792AB6A2">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（3）仅文字描述时间安排，无可视化图表；分工仅列岗位名，无职责说明；未明确场地或设备来源；无书面沟通流程；没有项目实施案例和佐证；无风险分析或应对措施。</w:t>
            </w:r>
            <w:r>
              <w:rPr>
                <w:rFonts w:hint="eastAsia" w:ascii="宋体" w:hAnsi="宋体" w:eastAsia="宋体" w:cs="宋体"/>
                <w:b/>
                <w:bCs/>
                <w:color w:val="auto"/>
                <w:sz w:val="24"/>
                <w:szCs w:val="24"/>
                <w:lang w:eastAsia="zh-CN"/>
              </w:rPr>
              <w:t>得0-5分。</w:t>
            </w:r>
          </w:p>
          <w:p w14:paraId="5C7DE854">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（4）未提供实施方案或内容与项目无关。不得分。</w:t>
            </w:r>
          </w:p>
        </w:tc>
        <w:tc>
          <w:tcPr>
            <w:tcW w:w="383" w:type="pct"/>
            <w:vAlign w:val="center"/>
          </w:tcPr>
          <w:p w14:paraId="6546C0AB">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15</w:t>
            </w:r>
            <w:r>
              <w:rPr>
                <w:rFonts w:hint="eastAsia" w:ascii="宋体" w:hAnsi="宋体" w:eastAsia="宋体" w:cs="宋体"/>
                <w:color w:val="auto"/>
                <w:sz w:val="24"/>
                <w:szCs w:val="24"/>
              </w:rPr>
              <w:t>分</w:t>
            </w:r>
          </w:p>
        </w:tc>
      </w:tr>
      <w:tr w14:paraId="09EE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06" w:type="pct"/>
            <w:vMerge w:val="continue"/>
            <w:vAlign w:val="center"/>
          </w:tcPr>
          <w:p w14:paraId="33E36530">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p>
        </w:tc>
        <w:tc>
          <w:tcPr>
            <w:tcW w:w="556" w:type="pct"/>
            <w:vAlign w:val="center"/>
          </w:tcPr>
          <w:p w14:paraId="35ADB3E3">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lang w:eastAsia="zh-CN"/>
              </w:rPr>
            </w:pPr>
            <w:bookmarkStart w:id="2" w:name="_Hlk209088254"/>
            <w:r>
              <w:rPr>
                <w:rFonts w:hint="eastAsia" w:ascii="宋体" w:hAnsi="宋体" w:eastAsia="宋体" w:cs="宋体"/>
                <w:color w:val="auto"/>
                <w:sz w:val="24"/>
                <w:szCs w:val="24"/>
                <w:lang w:eastAsia="zh-CN"/>
              </w:rPr>
              <w:t>质量保障措施方案</w:t>
            </w:r>
            <w:bookmarkEnd w:id="2"/>
          </w:p>
        </w:tc>
        <w:tc>
          <w:tcPr>
            <w:tcW w:w="3255" w:type="pct"/>
            <w:vAlign w:val="center"/>
          </w:tcPr>
          <w:p w14:paraId="63DACFF3">
            <w:pPr>
              <w:pStyle w:val="13"/>
              <w:keepNext w:val="0"/>
              <w:keepLines w:val="0"/>
              <w:pageBreakBefore w:val="0"/>
              <w:kinsoku/>
              <w:wordWrap/>
              <w:overflowPunct/>
              <w:topLinePunct w:val="0"/>
              <w:bidi w:val="0"/>
              <w:adjustRightInd/>
              <w:snapToGrid/>
              <w:spacing w:before="0" w:beforeAutospacing="0" w:after="0" w:afterAutospacing="0" w:line="280" w:lineRule="exact"/>
              <w:jc w:val="both"/>
              <w:textAlignment w:val="auto"/>
              <w:rPr>
                <w:rFonts w:hint="eastAsia" w:ascii="宋体" w:hAnsi="宋体" w:eastAsia="宋体" w:cs="宋体"/>
                <w:color w:val="auto"/>
              </w:rPr>
            </w:pPr>
            <w:r>
              <w:rPr>
                <w:rFonts w:hint="eastAsia" w:ascii="宋体" w:hAnsi="宋体" w:eastAsia="宋体" w:cs="宋体"/>
                <w:color w:val="auto"/>
              </w:rPr>
              <w:t>质量保障措施方案包括但不限于本项目保障措施要点分析、保障管理方案、响应时间、保障人员安排方案、突发状况应对预案5项要点内容，该项共5分，分值精确到小数点后1位。</w:t>
            </w:r>
          </w:p>
          <w:p w14:paraId="5C6877DD">
            <w:pPr>
              <w:pStyle w:val="13"/>
              <w:keepNext w:val="0"/>
              <w:keepLines w:val="0"/>
              <w:pageBreakBefore w:val="0"/>
              <w:kinsoku/>
              <w:wordWrap/>
              <w:overflowPunct/>
              <w:topLinePunct w:val="0"/>
              <w:bidi w:val="0"/>
              <w:adjustRightInd/>
              <w:snapToGrid/>
              <w:spacing w:before="0" w:beforeAutospacing="0" w:after="0" w:afterAutospacing="0" w:line="280" w:lineRule="exact"/>
              <w:jc w:val="both"/>
              <w:textAlignment w:val="auto"/>
              <w:rPr>
                <w:rFonts w:hint="eastAsia" w:ascii="宋体" w:hAnsi="宋体" w:eastAsia="宋体" w:cs="宋体"/>
                <w:color w:val="auto"/>
              </w:rPr>
            </w:pPr>
            <w:r>
              <w:rPr>
                <w:rFonts w:hint="eastAsia" w:ascii="宋体" w:hAnsi="宋体" w:eastAsia="宋体" w:cs="宋体"/>
                <w:color w:val="auto"/>
              </w:rPr>
              <w:t>（1）方案优秀，专业人员配备齐全，分工与职责明确；进度安排合理，且相关保障措施得力；对项目质量控制安排合理，方案完整合理、针对性及可行性强，</w:t>
            </w:r>
            <w:r>
              <w:rPr>
                <w:rFonts w:hint="eastAsia" w:ascii="宋体" w:hAnsi="宋体" w:eastAsia="宋体" w:cs="宋体"/>
                <w:b/>
                <w:bCs/>
                <w:color w:val="auto"/>
              </w:rPr>
              <w:t>得4</w:t>
            </w:r>
            <w:r>
              <w:rPr>
                <w:rFonts w:hint="eastAsia" w:ascii="宋体" w:hAnsi="宋体" w:eastAsia="宋体" w:cs="宋体"/>
                <w:b/>
                <w:bCs/>
                <w:color w:val="auto"/>
                <w:lang w:val="en-US" w:eastAsia="zh-CN"/>
              </w:rPr>
              <w:t>.1</w:t>
            </w:r>
            <w:r>
              <w:rPr>
                <w:rFonts w:hint="eastAsia" w:cs="宋体"/>
                <w:b/>
                <w:bCs/>
                <w:color w:val="auto"/>
                <w:lang w:val="en-US" w:eastAsia="zh-CN"/>
              </w:rPr>
              <w:t>～</w:t>
            </w:r>
            <w:r>
              <w:rPr>
                <w:rFonts w:hint="eastAsia" w:ascii="宋体" w:hAnsi="宋体" w:eastAsia="宋体" w:cs="宋体"/>
                <w:b/>
                <w:bCs/>
                <w:color w:val="auto"/>
              </w:rPr>
              <w:t>5分</w:t>
            </w:r>
            <w:r>
              <w:rPr>
                <w:rFonts w:hint="eastAsia" w:ascii="宋体" w:hAnsi="宋体" w:eastAsia="宋体" w:cs="宋体"/>
                <w:color w:val="auto"/>
              </w:rPr>
              <w:t>；</w:t>
            </w:r>
          </w:p>
          <w:p w14:paraId="2ECB4A47">
            <w:pPr>
              <w:pStyle w:val="13"/>
              <w:keepNext w:val="0"/>
              <w:keepLines w:val="0"/>
              <w:pageBreakBefore w:val="0"/>
              <w:kinsoku/>
              <w:wordWrap/>
              <w:overflowPunct/>
              <w:topLinePunct w:val="0"/>
              <w:bidi w:val="0"/>
              <w:adjustRightInd/>
              <w:snapToGrid/>
              <w:spacing w:before="0" w:beforeAutospacing="0" w:after="0" w:afterAutospacing="0" w:line="280" w:lineRule="exact"/>
              <w:jc w:val="both"/>
              <w:textAlignment w:val="auto"/>
              <w:rPr>
                <w:rFonts w:hint="eastAsia" w:ascii="宋体" w:hAnsi="宋体" w:eastAsia="宋体" w:cs="宋体"/>
                <w:color w:val="auto"/>
              </w:rPr>
            </w:pPr>
            <w:r>
              <w:rPr>
                <w:rFonts w:hint="eastAsia" w:ascii="宋体" w:hAnsi="宋体" w:eastAsia="宋体" w:cs="宋体"/>
                <w:color w:val="auto"/>
              </w:rPr>
              <w:t>（2）方案良好，专业人员配备较为齐全，分工与职责较为明确；进度安排较为合理，相关保障措施良好；对项目质量控制安排比较合理，方案较为完整合理、针对性及可行性较强，</w:t>
            </w:r>
            <w:r>
              <w:rPr>
                <w:rFonts w:hint="eastAsia" w:ascii="宋体" w:hAnsi="宋体" w:eastAsia="宋体" w:cs="宋体"/>
                <w:b/>
                <w:bCs/>
                <w:color w:val="auto"/>
              </w:rPr>
              <w:t>得</w:t>
            </w:r>
            <w:r>
              <w:rPr>
                <w:rFonts w:hint="eastAsia" w:ascii="宋体" w:hAnsi="宋体" w:eastAsia="宋体" w:cs="宋体"/>
                <w:b/>
                <w:bCs/>
                <w:color w:val="auto"/>
                <w:lang w:val="en-US" w:eastAsia="zh-CN"/>
              </w:rPr>
              <w:t>2.1</w:t>
            </w:r>
            <w:r>
              <w:rPr>
                <w:rFonts w:hint="eastAsia" w:cs="宋体"/>
                <w:b/>
                <w:bCs/>
                <w:color w:val="auto"/>
                <w:lang w:val="en-US" w:eastAsia="zh-CN"/>
              </w:rPr>
              <w:t>～</w:t>
            </w:r>
            <w:r>
              <w:rPr>
                <w:rFonts w:hint="eastAsia" w:ascii="宋体" w:hAnsi="宋体" w:eastAsia="宋体" w:cs="宋体"/>
                <w:b/>
                <w:bCs/>
                <w:color w:val="auto"/>
              </w:rPr>
              <w:t>4分</w:t>
            </w:r>
            <w:r>
              <w:rPr>
                <w:rFonts w:hint="eastAsia" w:ascii="宋体" w:hAnsi="宋体" w:eastAsia="宋体" w:cs="宋体"/>
                <w:color w:val="auto"/>
              </w:rPr>
              <w:t>；</w:t>
            </w:r>
          </w:p>
          <w:p w14:paraId="47ED5C56">
            <w:pPr>
              <w:pStyle w:val="13"/>
              <w:keepNext w:val="0"/>
              <w:keepLines w:val="0"/>
              <w:pageBreakBefore w:val="0"/>
              <w:kinsoku/>
              <w:wordWrap/>
              <w:overflowPunct/>
              <w:topLinePunct w:val="0"/>
              <w:bidi w:val="0"/>
              <w:adjustRightInd/>
              <w:snapToGrid/>
              <w:spacing w:before="0" w:beforeAutospacing="0" w:after="0" w:afterAutospacing="0" w:line="280" w:lineRule="exact"/>
              <w:jc w:val="both"/>
              <w:textAlignment w:val="auto"/>
              <w:rPr>
                <w:rFonts w:hint="eastAsia" w:ascii="宋体" w:hAnsi="宋体" w:eastAsia="宋体" w:cs="宋体"/>
                <w:color w:val="auto"/>
              </w:rPr>
            </w:pPr>
            <w:r>
              <w:rPr>
                <w:rFonts w:hint="eastAsia" w:ascii="宋体" w:hAnsi="宋体" w:eastAsia="宋体" w:cs="宋体"/>
                <w:color w:val="auto"/>
              </w:rPr>
              <w:t>（3）方案一般，专业人员配备基本齐全，分工与职责基本明确；进度安排基本合理，基本有相关保障措施；对项目质量控制基本作出安排，方案基本完整合理、有一定的针对性及可行性，</w:t>
            </w:r>
            <w:r>
              <w:rPr>
                <w:rFonts w:hint="eastAsia" w:ascii="宋体" w:hAnsi="宋体" w:eastAsia="宋体" w:cs="宋体"/>
                <w:b/>
                <w:bCs/>
                <w:color w:val="auto"/>
              </w:rPr>
              <w:t>得0-2分</w:t>
            </w:r>
            <w:r>
              <w:rPr>
                <w:rFonts w:hint="eastAsia" w:ascii="宋体" w:hAnsi="宋体" w:eastAsia="宋体" w:cs="宋体"/>
                <w:color w:val="auto"/>
              </w:rPr>
              <w:t>；</w:t>
            </w:r>
          </w:p>
          <w:p w14:paraId="77FC2136">
            <w:pPr>
              <w:pStyle w:val="13"/>
              <w:keepNext w:val="0"/>
              <w:keepLines w:val="0"/>
              <w:pageBreakBefore w:val="0"/>
              <w:kinsoku/>
              <w:wordWrap/>
              <w:overflowPunct/>
              <w:topLinePunct w:val="0"/>
              <w:bidi w:val="0"/>
              <w:adjustRightInd/>
              <w:snapToGrid/>
              <w:spacing w:before="0" w:beforeAutospacing="0" w:after="0" w:afterAutospacing="0" w:line="280" w:lineRule="exact"/>
              <w:jc w:val="both"/>
              <w:textAlignment w:val="auto"/>
              <w:rPr>
                <w:rFonts w:hint="eastAsia" w:ascii="宋体" w:hAnsi="宋体" w:eastAsia="宋体" w:cs="宋体"/>
                <w:color w:val="auto"/>
              </w:rPr>
            </w:pPr>
            <w:r>
              <w:rPr>
                <w:rFonts w:hint="eastAsia" w:ascii="宋体" w:hAnsi="宋体" w:eastAsia="宋体" w:cs="宋体"/>
                <w:color w:val="auto"/>
              </w:rPr>
              <w:t>（4）未提供不得分。</w:t>
            </w:r>
          </w:p>
        </w:tc>
        <w:tc>
          <w:tcPr>
            <w:tcW w:w="383" w:type="pct"/>
            <w:vAlign w:val="center"/>
          </w:tcPr>
          <w:p w14:paraId="1E9309E2">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5分</w:t>
            </w:r>
          </w:p>
        </w:tc>
      </w:tr>
      <w:tr w14:paraId="68C5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06" w:type="pct"/>
            <w:vMerge w:val="continue"/>
            <w:vAlign w:val="center"/>
          </w:tcPr>
          <w:p w14:paraId="2C376B98">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lang w:eastAsia="zh-CN"/>
              </w:rPr>
            </w:pPr>
          </w:p>
        </w:tc>
        <w:tc>
          <w:tcPr>
            <w:tcW w:w="556" w:type="pct"/>
            <w:vAlign w:val="center"/>
          </w:tcPr>
          <w:p w14:paraId="65275FFD">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技术参数响应情况</w:t>
            </w:r>
          </w:p>
        </w:tc>
        <w:tc>
          <w:tcPr>
            <w:tcW w:w="3255" w:type="pct"/>
            <w:vAlign w:val="center"/>
          </w:tcPr>
          <w:p w14:paraId="329A4879">
            <w:pPr>
              <w:keepNext w:val="0"/>
              <w:keepLines w:val="0"/>
              <w:pageBreakBefore w:val="0"/>
              <w:widowControl/>
              <w:kinsoku/>
              <w:wordWrap/>
              <w:overflowPunct/>
              <w:topLinePunct w:val="0"/>
              <w:bidi w:val="0"/>
              <w:adjustRightInd/>
              <w:snapToGrid/>
              <w:spacing w:line="280" w:lineRule="exact"/>
              <w:jc w:val="both"/>
              <w:textAlignment w:val="auto"/>
              <w:rPr>
                <w:rFonts w:hint="eastAsia" w:ascii="宋体" w:hAnsi="宋体" w:eastAsia="宋体" w:cs="宋体"/>
                <w:bCs/>
                <w:color w:val="auto"/>
                <w:sz w:val="24"/>
                <w:szCs w:val="24"/>
                <w:lang w:eastAsia="zh-CN"/>
              </w:rPr>
            </w:pPr>
            <w:r>
              <w:rPr>
                <w:rFonts w:hint="eastAsia" w:ascii="宋体" w:hAnsi="宋体" w:eastAsia="宋体" w:cs="宋体"/>
                <w:color w:val="auto"/>
                <w:kern w:val="2"/>
                <w:sz w:val="24"/>
                <w:szCs w:val="24"/>
                <w:lang w:eastAsia="zh-CN"/>
              </w:rPr>
              <w:t>针对招标文件带▲的 5 项重要技术指标，投标人需逐条提供截图等有效证明材料且体现指标符合性，每满足一项得 2 分（满分 10 分）、不满足或材料不符不得分；同时针对核心参数的检验报告，具备CMA+CNAS 双认证且覆盖核心参数得 2 分，报告无对应认证、过期或未覆盖核心参数不加分。</w:t>
            </w:r>
          </w:p>
        </w:tc>
        <w:tc>
          <w:tcPr>
            <w:tcW w:w="383" w:type="pct"/>
            <w:vAlign w:val="center"/>
          </w:tcPr>
          <w:p w14:paraId="63DB2272">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eastAsia="zh-CN"/>
              </w:rPr>
              <w:t>12</w:t>
            </w:r>
            <w:r>
              <w:rPr>
                <w:rFonts w:hint="eastAsia" w:ascii="宋体" w:hAnsi="宋体" w:eastAsia="宋体" w:cs="宋体"/>
                <w:color w:val="auto"/>
                <w:kern w:val="2"/>
                <w:sz w:val="24"/>
                <w:szCs w:val="24"/>
              </w:rPr>
              <w:t>分</w:t>
            </w:r>
          </w:p>
        </w:tc>
      </w:tr>
      <w:tr w14:paraId="7C74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06" w:type="pct"/>
            <w:vMerge w:val="continue"/>
            <w:vAlign w:val="center"/>
          </w:tcPr>
          <w:p w14:paraId="7691D203">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p>
        </w:tc>
        <w:tc>
          <w:tcPr>
            <w:tcW w:w="556" w:type="pct"/>
            <w:vAlign w:val="center"/>
          </w:tcPr>
          <w:p w14:paraId="5332AAEF">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培训服务</w:t>
            </w:r>
          </w:p>
        </w:tc>
        <w:tc>
          <w:tcPr>
            <w:tcW w:w="3255" w:type="pct"/>
            <w:vAlign w:val="center"/>
          </w:tcPr>
          <w:p w14:paraId="59D477C0">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auto"/>
                <w:kern w:val="2"/>
                <w:sz w:val="24"/>
                <w:szCs w:val="24"/>
                <w:lang w:eastAsia="zh-CN"/>
              </w:rPr>
            </w:pPr>
            <w:bookmarkStart w:id="3" w:name="_Hlk209088625"/>
            <w:r>
              <w:rPr>
                <w:rFonts w:hint="eastAsia" w:ascii="宋体" w:hAnsi="宋体" w:eastAsia="宋体" w:cs="宋体"/>
                <w:color w:val="auto"/>
                <w:kern w:val="2"/>
                <w:sz w:val="24"/>
                <w:szCs w:val="24"/>
                <w:lang w:eastAsia="zh-CN"/>
              </w:rPr>
              <w:t>1.提供完整的培训方案，内容包括但不限于培训内容、培训方法、培训流程共3项要点。</w:t>
            </w:r>
          </w:p>
          <w:p w14:paraId="4702F44A">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以上3 方面结合采购需求进行了具体、详细的阐述、条理清晰且均能够满足项目需求得 3分，每有一项要点阐述不全面、不清楚或未提供，在3 分的基础上减 1 分，分值减完为止。未提供不得分。</w:t>
            </w:r>
            <w:bookmarkEnd w:id="3"/>
          </w:p>
        </w:tc>
        <w:tc>
          <w:tcPr>
            <w:tcW w:w="383" w:type="pct"/>
            <w:vAlign w:val="center"/>
          </w:tcPr>
          <w:p w14:paraId="5762982B">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分</w:t>
            </w:r>
          </w:p>
        </w:tc>
      </w:tr>
      <w:tr w14:paraId="2A65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06" w:type="pct"/>
            <w:vMerge w:val="continue"/>
            <w:vAlign w:val="center"/>
          </w:tcPr>
          <w:p w14:paraId="1DB5EE1A">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lang w:eastAsia="zh-CN"/>
              </w:rPr>
            </w:pPr>
          </w:p>
        </w:tc>
        <w:tc>
          <w:tcPr>
            <w:tcW w:w="556" w:type="pct"/>
            <w:vAlign w:val="center"/>
          </w:tcPr>
          <w:p w14:paraId="677C149D">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bookmarkStart w:id="4" w:name="_Hlk209088653"/>
            <w:r>
              <w:rPr>
                <w:rFonts w:hint="eastAsia" w:ascii="宋体" w:hAnsi="宋体" w:eastAsia="宋体" w:cs="宋体"/>
                <w:color w:val="auto"/>
                <w:sz w:val="24"/>
                <w:szCs w:val="24"/>
              </w:rPr>
              <w:t>售后服务</w:t>
            </w:r>
            <w:bookmarkEnd w:id="4"/>
          </w:p>
        </w:tc>
        <w:tc>
          <w:tcPr>
            <w:tcW w:w="3255" w:type="pct"/>
            <w:vAlign w:val="center"/>
          </w:tcPr>
          <w:p w14:paraId="1E2FBB94">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auto"/>
                <w:kern w:val="2"/>
                <w:sz w:val="24"/>
                <w:szCs w:val="24"/>
                <w:lang w:eastAsia="zh-CN"/>
              </w:rPr>
            </w:pPr>
            <w:bookmarkStart w:id="5" w:name="_Hlk209088677"/>
            <w:r>
              <w:rPr>
                <w:rFonts w:hint="eastAsia" w:ascii="宋体" w:hAnsi="宋体" w:eastAsia="宋体" w:cs="宋体"/>
                <w:color w:val="auto"/>
                <w:kern w:val="2"/>
                <w:sz w:val="24"/>
                <w:szCs w:val="24"/>
                <w:lang w:eastAsia="zh-CN"/>
              </w:rPr>
              <w:t>1.提供完整的售后服务方案，包含售后服务体系、售后组织架构分析、售后服务流程、售后服务响应时间、应急情况处理措施、反馈回访制度共 6 项要点，以上 6 方面结合采购需求进行了具体、详细的阐述、条理清晰，满分 10 分。</w:t>
            </w:r>
          </w:p>
          <w:p w14:paraId="283BEFDD">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（1）方案优秀，售后服务体系健全严谨，售后组织架构合理，售后服务流程简洁，售后响应时长短，反馈回访制度健全，服务人员配备合理有专人，有完善的应急处理措施，</w:t>
            </w:r>
            <w:r>
              <w:rPr>
                <w:rFonts w:hint="eastAsia" w:ascii="宋体" w:hAnsi="宋体" w:eastAsia="宋体" w:cs="宋体"/>
                <w:b/>
                <w:bCs/>
                <w:color w:val="auto"/>
                <w:kern w:val="2"/>
                <w:sz w:val="24"/>
                <w:szCs w:val="24"/>
                <w:lang w:eastAsia="zh-CN"/>
              </w:rPr>
              <w:t>得 7</w:t>
            </w: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lang w:eastAsia="zh-CN"/>
              </w:rPr>
              <w:t>-10 分</w:t>
            </w:r>
            <w:r>
              <w:rPr>
                <w:rFonts w:hint="eastAsia" w:ascii="宋体" w:hAnsi="宋体" w:eastAsia="宋体" w:cs="宋体"/>
                <w:color w:val="auto"/>
                <w:kern w:val="2"/>
                <w:sz w:val="24"/>
                <w:szCs w:val="24"/>
                <w:lang w:eastAsia="zh-CN"/>
              </w:rPr>
              <w:t>；</w:t>
            </w:r>
          </w:p>
          <w:p w14:paraId="1E6DB59F">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（2）方案良好，售后服务体系相对健全严谨，售后组织架构相对合理，售后服务流程较简洁，售后响应时长相对短，反馈回访制度健全，服务人员配备合理有专人，有较完善的应急处理措施，</w:t>
            </w:r>
            <w:r>
              <w:rPr>
                <w:rFonts w:hint="eastAsia" w:ascii="宋体" w:hAnsi="宋体" w:eastAsia="宋体" w:cs="宋体"/>
                <w:b/>
                <w:bCs/>
                <w:color w:val="auto"/>
                <w:kern w:val="2"/>
                <w:sz w:val="24"/>
                <w:szCs w:val="24"/>
                <w:lang w:eastAsia="zh-CN"/>
              </w:rPr>
              <w:t>得 4</w:t>
            </w: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lang w:eastAsia="zh-CN"/>
              </w:rPr>
              <w:t>7分</w:t>
            </w:r>
            <w:r>
              <w:rPr>
                <w:rFonts w:hint="eastAsia" w:ascii="宋体" w:hAnsi="宋体" w:eastAsia="宋体" w:cs="宋体"/>
                <w:color w:val="auto"/>
                <w:kern w:val="2"/>
                <w:sz w:val="24"/>
                <w:szCs w:val="24"/>
                <w:lang w:eastAsia="zh-CN"/>
              </w:rPr>
              <w:t>；</w:t>
            </w:r>
          </w:p>
          <w:p w14:paraId="71DD6169">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（3）方案一般，售后服务体系基本健全，售后组织架构基本合理，具备售后服务流程，售后响应时长在可接受范围内，服务人员配备基本合理，应急处理措施可提供，</w:t>
            </w:r>
            <w:r>
              <w:rPr>
                <w:rFonts w:hint="eastAsia" w:ascii="宋体" w:hAnsi="宋体" w:eastAsia="宋体" w:cs="宋体"/>
                <w:b/>
                <w:bCs/>
                <w:color w:val="auto"/>
                <w:kern w:val="2"/>
                <w:sz w:val="24"/>
                <w:szCs w:val="24"/>
                <w:lang w:eastAsia="zh-CN"/>
              </w:rPr>
              <w:t>得 0-4分</w:t>
            </w:r>
            <w:r>
              <w:rPr>
                <w:rFonts w:hint="eastAsia" w:ascii="宋体" w:hAnsi="宋体" w:eastAsia="宋体" w:cs="宋体"/>
                <w:color w:val="auto"/>
                <w:kern w:val="2"/>
                <w:sz w:val="24"/>
                <w:szCs w:val="24"/>
                <w:lang w:eastAsia="zh-CN"/>
              </w:rPr>
              <w:t>；</w:t>
            </w:r>
          </w:p>
          <w:p w14:paraId="54EEF261">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（4）未提供不得分。</w:t>
            </w:r>
            <w:bookmarkEnd w:id="5"/>
          </w:p>
        </w:tc>
        <w:tc>
          <w:tcPr>
            <w:tcW w:w="383" w:type="pct"/>
            <w:vAlign w:val="center"/>
          </w:tcPr>
          <w:p w14:paraId="6DD5492E">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r>
      <w:tr w14:paraId="5BFF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0" w:hRule="atLeast"/>
          <w:jc w:val="center"/>
        </w:trPr>
        <w:tc>
          <w:tcPr>
            <w:tcW w:w="806" w:type="pct"/>
            <w:vMerge w:val="restart"/>
            <w:vAlign w:val="center"/>
          </w:tcPr>
          <w:p w14:paraId="0BD4536A">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C.</w:t>
            </w:r>
            <w:r>
              <w:rPr>
                <w:rFonts w:hint="eastAsia" w:ascii="宋体" w:hAnsi="宋体" w:eastAsia="宋体" w:cs="宋体"/>
                <w:color w:val="auto"/>
                <w:sz w:val="24"/>
                <w:szCs w:val="24"/>
              </w:rPr>
              <w:t>商务分</w:t>
            </w:r>
          </w:p>
          <w:p w14:paraId="6B90D230">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（20分）</w:t>
            </w:r>
          </w:p>
        </w:tc>
        <w:tc>
          <w:tcPr>
            <w:tcW w:w="556" w:type="pct"/>
            <w:vAlign w:val="center"/>
          </w:tcPr>
          <w:p w14:paraId="2DDC5C9F">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bookmarkStart w:id="6" w:name="_Hlk209088750"/>
            <w:r>
              <w:rPr>
                <w:rFonts w:hint="eastAsia" w:ascii="宋体" w:hAnsi="宋体" w:eastAsia="宋体" w:cs="宋体"/>
                <w:color w:val="auto"/>
                <w:sz w:val="24"/>
                <w:szCs w:val="24"/>
              </w:rPr>
              <w:t>信誉</w:t>
            </w:r>
            <w:bookmarkEnd w:id="6"/>
          </w:p>
        </w:tc>
        <w:tc>
          <w:tcPr>
            <w:tcW w:w="3255" w:type="pct"/>
            <w:vAlign w:val="center"/>
          </w:tcPr>
          <w:p w14:paraId="7E382B6D">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auto"/>
                <w:sz w:val="24"/>
                <w:szCs w:val="24"/>
                <w:lang w:eastAsia="zh-CN"/>
              </w:rPr>
            </w:pPr>
            <w:bookmarkStart w:id="7" w:name="_Hlk209088758"/>
            <w:r>
              <w:rPr>
                <w:rFonts w:hint="eastAsia" w:ascii="宋体" w:hAnsi="宋体" w:eastAsia="宋体" w:cs="宋体"/>
                <w:color w:val="auto"/>
                <w:sz w:val="24"/>
                <w:szCs w:val="24"/>
                <w:lang w:eastAsia="zh-CN"/>
              </w:rPr>
              <w:t>为保障资源开发服务质量，投标人需提供以下认证证书：1、诚信记录</w:t>
            </w:r>
          </w:p>
          <w:p w14:paraId="69E2D051">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供应商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采购代理机构于投标截止日当天在“信用中国”网站（https://www.creditchina.gov.cn）及中国政府采购网（http://www.ccgp.gov.cn）查询结果为准，如相关失信记录已失效，响应供应商需提供相关证明资料）；</w:t>
            </w:r>
          </w:p>
          <w:p w14:paraId="6D8204B6">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2.知识产权合规管理体系认证（GB/T29490-2023）证书，</w:t>
            </w:r>
          </w:p>
          <w:p w14:paraId="2D1C7BC0">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提供诚信记录得6分，知识产权合规管理体系认证证书得2分，提供不全或不提供不得分。</w:t>
            </w:r>
            <w:bookmarkEnd w:id="7"/>
          </w:p>
        </w:tc>
        <w:tc>
          <w:tcPr>
            <w:tcW w:w="383" w:type="pct"/>
            <w:vAlign w:val="center"/>
          </w:tcPr>
          <w:p w14:paraId="38C44107">
            <w:pPr>
              <w:keepNext w:val="0"/>
              <w:keepLines w:val="0"/>
              <w:pageBreakBefore w:val="0"/>
              <w:kinsoku/>
              <w:wordWrap/>
              <w:overflowPunct/>
              <w:topLinePunct w:val="0"/>
              <w:bidi w:val="0"/>
              <w:adjustRightInd/>
              <w:snapToGrid/>
              <w:spacing w:line="280" w:lineRule="exact"/>
              <w:ind w:firstLine="240" w:firstLineChars="1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8分</w:t>
            </w:r>
          </w:p>
        </w:tc>
      </w:tr>
      <w:tr w14:paraId="5EDE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0" w:hRule="atLeast"/>
          <w:jc w:val="center"/>
        </w:trPr>
        <w:tc>
          <w:tcPr>
            <w:tcW w:w="806" w:type="pct"/>
            <w:vMerge w:val="continue"/>
            <w:vAlign w:val="center"/>
          </w:tcPr>
          <w:p w14:paraId="3F03F66C">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p>
        </w:tc>
        <w:tc>
          <w:tcPr>
            <w:tcW w:w="556" w:type="pct"/>
            <w:vAlign w:val="center"/>
          </w:tcPr>
          <w:p w14:paraId="15D70640">
            <w:pPr>
              <w:pStyle w:val="13"/>
              <w:keepNext w:val="0"/>
              <w:keepLines w:val="0"/>
              <w:pageBreakBefore w:val="0"/>
              <w:kinsoku/>
              <w:wordWrap/>
              <w:overflowPunct/>
              <w:topLinePunct w:val="0"/>
              <w:bidi w:val="0"/>
              <w:adjustRightInd/>
              <w:snapToGrid/>
              <w:spacing w:before="0" w:beforeAutospacing="0" w:after="0" w:afterAutospacing="0" w:line="280" w:lineRule="exact"/>
              <w:jc w:val="center"/>
              <w:textAlignment w:val="auto"/>
              <w:rPr>
                <w:rFonts w:hint="eastAsia" w:ascii="宋体" w:hAnsi="宋体" w:eastAsia="宋体" w:cs="宋体"/>
                <w:color w:val="auto"/>
              </w:rPr>
            </w:pPr>
            <w:bookmarkStart w:id="8" w:name="_Hlk209088783"/>
            <w:r>
              <w:rPr>
                <w:rFonts w:hint="eastAsia" w:ascii="宋体" w:hAnsi="宋体" w:eastAsia="宋体" w:cs="宋体"/>
                <w:color w:val="auto"/>
              </w:rPr>
              <w:t>企业</w:t>
            </w:r>
          </w:p>
          <w:p w14:paraId="161150BF">
            <w:pPr>
              <w:pStyle w:val="13"/>
              <w:keepNext w:val="0"/>
              <w:keepLines w:val="0"/>
              <w:pageBreakBefore w:val="0"/>
              <w:kinsoku/>
              <w:wordWrap/>
              <w:overflowPunct/>
              <w:topLinePunct w:val="0"/>
              <w:bidi w:val="0"/>
              <w:adjustRightInd/>
              <w:snapToGrid/>
              <w:spacing w:before="0" w:beforeAutospacing="0" w:after="0" w:afterAutospacing="0" w:line="280" w:lineRule="exact"/>
              <w:jc w:val="center"/>
              <w:textAlignment w:val="auto"/>
              <w:rPr>
                <w:rFonts w:hint="eastAsia" w:ascii="宋体" w:hAnsi="宋体" w:eastAsia="宋体" w:cs="宋体"/>
                <w:color w:val="auto"/>
              </w:rPr>
            </w:pPr>
            <w:r>
              <w:rPr>
                <w:rFonts w:hint="eastAsia" w:ascii="宋体" w:hAnsi="宋体" w:eastAsia="宋体" w:cs="宋体"/>
                <w:color w:val="auto"/>
              </w:rPr>
              <w:t>实力</w:t>
            </w:r>
            <w:bookmarkEnd w:id="8"/>
          </w:p>
        </w:tc>
        <w:tc>
          <w:tcPr>
            <w:tcW w:w="3255" w:type="pct"/>
            <w:vAlign w:val="center"/>
          </w:tcPr>
          <w:p w14:paraId="18CFCE5A">
            <w:pPr>
              <w:pStyle w:val="13"/>
              <w:keepNext w:val="0"/>
              <w:keepLines w:val="0"/>
              <w:pageBreakBefore w:val="0"/>
              <w:kinsoku/>
              <w:wordWrap/>
              <w:overflowPunct/>
              <w:topLinePunct w:val="0"/>
              <w:bidi w:val="0"/>
              <w:adjustRightInd/>
              <w:snapToGrid/>
              <w:spacing w:before="0" w:beforeAutospacing="0" w:after="0" w:afterAutospacing="0" w:line="280" w:lineRule="exact"/>
              <w:textAlignment w:val="auto"/>
              <w:rPr>
                <w:rFonts w:hint="eastAsia" w:ascii="宋体" w:hAnsi="宋体" w:eastAsia="宋体" w:cs="宋体"/>
                <w:color w:val="auto"/>
              </w:rPr>
            </w:pPr>
            <w:bookmarkStart w:id="9" w:name="OLE_LINK2"/>
            <w:bookmarkStart w:id="10" w:name="_Hlk209088802"/>
            <w:r>
              <w:rPr>
                <w:rFonts w:hint="eastAsia" w:ascii="宋体" w:hAnsi="宋体" w:eastAsia="宋体" w:cs="宋体"/>
                <w:color w:val="auto"/>
                <w:shd w:val="clear" w:color="auto" w:fill="FFFFFF"/>
              </w:rPr>
              <w:t>为保证服务企业能进行深度的产教融合，投标人需满足以下企业资质要求，具体评分规则如下：</w:t>
            </w:r>
          </w:p>
          <w:p w14:paraId="56C0CBCE">
            <w:pPr>
              <w:pStyle w:val="13"/>
              <w:keepNext w:val="0"/>
              <w:keepLines w:val="0"/>
              <w:pageBreakBefore w:val="0"/>
              <w:kinsoku/>
              <w:wordWrap/>
              <w:overflowPunct/>
              <w:topLinePunct w:val="0"/>
              <w:bidi w:val="0"/>
              <w:adjustRightInd/>
              <w:snapToGrid/>
              <w:spacing w:before="0" w:beforeAutospacing="0" w:after="0" w:afterAutospacing="0" w:line="280" w:lineRule="exact"/>
              <w:textAlignment w:val="auto"/>
              <w:rPr>
                <w:rFonts w:hint="eastAsia" w:ascii="宋体" w:hAnsi="宋体" w:eastAsia="宋体" w:cs="宋体"/>
                <w:color w:val="auto"/>
              </w:rPr>
            </w:pPr>
            <w:r>
              <w:rPr>
                <w:rFonts w:hint="eastAsia" w:ascii="宋体" w:hAnsi="宋体" w:eastAsia="宋体" w:cs="宋体"/>
                <w:color w:val="auto"/>
              </w:rPr>
              <w:t>1.</w:t>
            </w:r>
            <w:bookmarkStart w:id="11" w:name="OLE_LINK3"/>
            <w:r>
              <w:rPr>
                <w:rFonts w:hint="eastAsia" w:ascii="宋体" w:hAnsi="宋体" w:eastAsia="宋体" w:cs="宋体"/>
                <w:color w:val="auto"/>
              </w:rPr>
              <w:t>投标人</w:t>
            </w:r>
            <w:bookmarkStart w:id="12" w:name="OLE_LINK1"/>
            <w:r>
              <w:rPr>
                <w:rFonts w:hint="eastAsia" w:ascii="宋体" w:hAnsi="宋体" w:eastAsia="宋体" w:cs="宋体"/>
                <w:color w:val="auto"/>
              </w:rPr>
              <w:t>或子、母公司</w:t>
            </w:r>
            <w:bookmarkEnd w:id="11"/>
            <w:bookmarkEnd w:id="12"/>
            <w:r>
              <w:rPr>
                <w:rFonts w:hint="eastAsia" w:ascii="宋体" w:hAnsi="宋体" w:eastAsia="宋体" w:cs="宋体"/>
                <w:color w:val="auto"/>
              </w:rPr>
              <w:t>，为省级或以上企业技术中心、软件技术中心、工程技术中心的得3分（认证材料提供证书复印件并加盖投标单位公章） </w:t>
            </w:r>
          </w:p>
          <w:p w14:paraId="31537C1D">
            <w:pPr>
              <w:pStyle w:val="13"/>
              <w:keepNext w:val="0"/>
              <w:keepLines w:val="0"/>
              <w:pageBreakBefore w:val="0"/>
              <w:kinsoku/>
              <w:wordWrap/>
              <w:overflowPunct/>
              <w:topLinePunct w:val="0"/>
              <w:bidi w:val="0"/>
              <w:adjustRightInd/>
              <w:snapToGrid/>
              <w:spacing w:before="0" w:beforeAutospacing="0" w:after="0" w:afterAutospacing="0" w:line="280" w:lineRule="exact"/>
              <w:textAlignment w:val="auto"/>
              <w:rPr>
                <w:rFonts w:hint="eastAsia" w:ascii="宋体" w:hAnsi="宋体" w:eastAsia="宋体" w:cs="宋体"/>
                <w:color w:val="auto"/>
              </w:rPr>
            </w:pPr>
            <w:r>
              <w:rPr>
                <w:rFonts w:hint="eastAsia" w:ascii="宋体" w:hAnsi="宋体" w:eastAsia="宋体" w:cs="宋体"/>
                <w:color w:val="auto"/>
              </w:rPr>
              <w:t>2投标人或子、母公司，为省级或以上产教融合型企业及职业教育教师实践基地的得3分（有关材料提供证书复印件并加盖投标单位公章）</w:t>
            </w:r>
            <w:bookmarkEnd w:id="9"/>
            <w:r>
              <w:rPr>
                <w:rFonts w:hint="eastAsia" w:ascii="宋体" w:hAnsi="宋体" w:eastAsia="宋体" w:cs="宋体"/>
                <w:color w:val="auto"/>
              </w:rPr>
              <w:t> </w:t>
            </w:r>
            <w:bookmarkEnd w:id="10"/>
          </w:p>
        </w:tc>
        <w:tc>
          <w:tcPr>
            <w:tcW w:w="383" w:type="pct"/>
            <w:vAlign w:val="center"/>
          </w:tcPr>
          <w:p w14:paraId="6ACD3E5F">
            <w:pPr>
              <w:keepNext w:val="0"/>
              <w:keepLines w:val="0"/>
              <w:pageBreakBefore w:val="0"/>
              <w:kinsoku/>
              <w:wordWrap/>
              <w:overflowPunct/>
              <w:topLinePunct w:val="0"/>
              <w:bidi w:val="0"/>
              <w:adjustRightInd/>
              <w:snapToGrid/>
              <w:spacing w:line="280" w:lineRule="exact"/>
              <w:ind w:firstLine="240" w:firstLineChars="1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6分</w:t>
            </w:r>
          </w:p>
        </w:tc>
      </w:tr>
      <w:tr w14:paraId="47E6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06" w:type="pct"/>
            <w:vMerge w:val="continue"/>
            <w:vAlign w:val="center"/>
          </w:tcPr>
          <w:p w14:paraId="73DBDE38">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lang w:eastAsia="zh-CN"/>
              </w:rPr>
            </w:pPr>
          </w:p>
        </w:tc>
        <w:tc>
          <w:tcPr>
            <w:tcW w:w="556" w:type="pct"/>
            <w:vAlign w:val="center"/>
          </w:tcPr>
          <w:p w14:paraId="54E907D9">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业绩</w:t>
            </w:r>
          </w:p>
        </w:tc>
        <w:tc>
          <w:tcPr>
            <w:tcW w:w="3255" w:type="pct"/>
            <w:vAlign w:val="center"/>
          </w:tcPr>
          <w:p w14:paraId="0ADEF344">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auto"/>
                <w:kern w:val="2"/>
                <w:sz w:val="24"/>
                <w:szCs w:val="24"/>
                <w:lang w:eastAsia="zh-CN"/>
              </w:rPr>
            </w:pPr>
            <w:bookmarkStart w:id="13" w:name="_Hlk209088727"/>
            <w:r>
              <w:rPr>
                <w:rFonts w:hint="eastAsia" w:ascii="宋体" w:hAnsi="宋体" w:eastAsia="宋体" w:cs="宋体"/>
                <w:color w:val="auto"/>
                <w:kern w:val="2"/>
                <w:sz w:val="24"/>
                <w:szCs w:val="24"/>
                <w:lang w:eastAsia="zh-CN"/>
              </w:rPr>
              <w:t>自2021年1月1日以来，具有机电相关专业软件、课程、设备、平台等相关业绩或者工科类软件、课程开发服务相关业绩，每提供一个得1分，共计6分，不提供不得分。（提供合同复印件和相关项目实施过程佐证材料加盖公章）</w:t>
            </w:r>
            <w:bookmarkEnd w:id="13"/>
          </w:p>
        </w:tc>
        <w:tc>
          <w:tcPr>
            <w:tcW w:w="383" w:type="pct"/>
            <w:vAlign w:val="center"/>
          </w:tcPr>
          <w:p w14:paraId="26272C9B">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6分</w:t>
            </w:r>
          </w:p>
        </w:tc>
      </w:tr>
    </w:tbl>
    <w:p w14:paraId="69301C9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注：</w:t>
      </w:r>
      <w:r>
        <w:rPr>
          <w:rFonts w:hint="eastAsia" w:ascii="宋体" w:hAnsi="宋体" w:eastAsia="宋体" w:cs="宋体"/>
          <w:color w:val="auto"/>
          <w:sz w:val="24"/>
          <w:szCs w:val="24"/>
        </w:rPr>
        <w:t>由评委在打分前根据投标文件对招标文件中技术需求的响应程度集体讨论确定各投标产品性能所属档次，然后评委在各档次内独立打分。</w:t>
      </w:r>
    </w:p>
    <w:p w14:paraId="6E7A367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总得分=</w:t>
      </w: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w:t>
      </w:r>
    </w:p>
    <w:p w14:paraId="5D1A9CFB">
      <w:pPr>
        <w:keepNext w:val="0"/>
        <w:keepLines w:val="0"/>
        <w:pageBreakBefore w:val="0"/>
        <w:widowControl w:val="0"/>
        <w:kinsoku/>
        <w:wordWrap/>
        <w:overflowPunct/>
        <w:topLinePunct w:val="0"/>
        <w:autoSpaceDE/>
        <w:autoSpaceDN/>
        <w:bidi w:val="0"/>
        <w:adjustRightInd/>
        <w:snapToGrid/>
        <w:spacing w:line="360" w:lineRule="exact"/>
        <w:ind w:firstLine="470" w:firstLineChars="195"/>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三、中标候选人推荐原则</w:t>
      </w:r>
    </w:p>
    <w:p w14:paraId="09D73E4B">
      <w:pPr>
        <w:keepNext w:val="0"/>
        <w:keepLines w:val="0"/>
        <w:pageBreakBefore w:val="0"/>
        <w:widowControl w:val="0"/>
        <w:kinsoku/>
        <w:wordWrap/>
        <w:overflowPunct/>
        <w:topLinePunct w:val="0"/>
        <w:autoSpaceDE/>
        <w:autoSpaceDN/>
        <w:bidi w:val="0"/>
        <w:adjustRightInd/>
        <w:snapToGrid/>
        <w:spacing w:line="360" w:lineRule="exact"/>
        <w:ind w:firstLine="468" w:firstLine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将根据总得分由高到低排列次序（得分相同时，以投标报价由低到高顺序排列；得分相同且投标报价相同的，按技术分高低顺序排列）并推荐前三名为中标候选单位。招标单位应当确定评审委员会推荐排名第一的中标候选人为中标人。中标单位拒绝与招标单位签订合同的，招标单位可以按照评审报告推荐的中标候选人名单排序，确定下一候选人为中标单位，也可以重新开展招标活动。</w:t>
      </w:r>
      <w:bookmarkStart w:id="14" w:name="_Toc498938253"/>
      <w:bookmarkEnd w:id="14"/>
    </w:p>
    <w:p w14:paraId="5A2FC4D1">
      <w:pPr>
        <w:jc w:val="both"/>
        <w:rPr>
          <w:rFonts w:hint="eastAsia" w:ascii="宋体" w:hAnsi="宋体" w:eastAsia="宋体" w:cs="宋体"/>
          <w:color w:val="auto"/>
          <w:lang w:eastAsia="zh-CN"/>
        </w:rPr>
      </w:pPr>
    </w:p>
    <w:sectPr>
      <w:footerReference r:id="rId3" w:type="default"/>
      <w:pgSz w:w="11906" w:h="16838"/>
      <w:pgMar w:top="1417" w:right="1417" w:bottom="113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498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994B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9994B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F2A83"/>
    <w:multiLevelType w:val="multilevel"/>
    <w:tmpl w:val="0E3F2A8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1D684CD4"/>
    <w:multiLevelType w:val="multilevel"/>
    <w:tmpl w:val="1D684CD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jZjIwZjQwNTU1ZWExYWFhOGZkOGNkMzYxZjc4YzcifQ=="/>
  </w:docVars>
  <w:rsids>
    <w:rsidRoot w:val="00DE1170"/>
    <w:rsid w:val="00012B94"/>
    <w:rsid w:val="0002600C"/>
    <w:rsid w:val="0005226A"/>
    <w:rsid w:val="00094474"/>
    <w:rsid w:val="00095B56"/>
    <w:rsid w:val="000D4110"/>
    <w:rsid w:val="000F2CB7"/>
    <w:rsid w:val="00122E1A"/>
    <w:rsid w:val="00132AF4"/>
    <w:rsid w:val="00142486"/>
    <w:rsid w:val="001425FC"/>
    <w:rsid w:val="0018057C"/>
    <w:rsid w:val="00192F85"/>
    <w:rsid w:val="0019308F"/>
    <w:rsid w:val="001B5F4E"/>
    <w:rsid w:val="001E0950"/>
    <w:rsid w:val="001E3C9D"/>
    <w:rsid w:val="001E4703"/>
    <w:rsid w:val="001F5ABE"/>
    <w:rsid w:val="0021413C"/>
    <w:rsid w:val="0021669A"/>
    <w:rsid w:val="00262542"/>
    <w:rsid w:val="002765CB"/>
    <w:rsid w:val="002F4B38"/>
    <w:rsid w:val="003346D5"/>
    <w:rsid w:val="00395AD6"/>
    <w:rsid w:val="00396B16"/>
    <w:rsid w:val="003A04AE"/>
    <w:rsid w:val="003B4CAC"/>
    <w:rsid w:val="003E5ED2"/>
    <w:rsid w:val="00401446"/>
    <w:rsid w:val="0043417A"/>
    <w:rsid w:val="004473DD"/>
    <w:rsid w:val="00473853"/>
    <w:rsid w:val="00493329"/>
    <w:rsid w:val="00496496"/>
    <w:rsid w:val="004A61E6"/>
    <w:rsid w:val="004B25B9"/>
    <w:rsid w:val="004D3A85"/>
    <w:rsid w:val="0056640A"/>
    <w:rsid w:val="0056799F"/>
    <w:rsid w:val="005A79D2"/>
    <w:rsid w:val="005C52A8"/>
    <w:rsid w:val="005D479B"/>
    <w:rsid w:val="005D74BA"/>
    <w:rsid w:val="00634342"/>
    <w:rsid w:val="00635B3A"/>
    <w:rsid w:val="00673E76"/>
    <w:rsid w:val="006C190A"/>
    <w:rsid w:val="00706587"/>
    <w:rsid w:val="007068C8"/>
    <w:rsid w:val="00751845"/>
    <w:rsid w:val="00756241"/>
    <w:rsid w:val="007566E7"/>
    <w:rsid w:val="00794CC8"/>
    <w:rsid w:val="0079516A"/>
    <w:rsid w:val="007C113E"/>
    <w:rsid w:val="00860204"/>
    <w:rsid w:val="00865ACE"/>
    <w:rsid w:val="008E3B9D"/>
    <w:rsid w:val="0090667D"/>
    <w:rsid w:val="0090747F"/>
    <w:rsid w:val="009238E8"/>
    <w:rsid w:val="009375D9"/>
    <w:rsid w:val="00946F89"/>
    <w:rsid w:val="0095291D"/>
    <w:rsid w:val="0099669B"/>
    <w:rsid w:val="009D264A"/>
    <w:rsid w:val="009E2AD8"/>
    <w:rsid w:val="009F2505"/>
    <w:rsid w:val="00A01CF2"/>
    <w:rsid w:val="00A05D00"/>
    <w:rsid w:val="00A13618"/>
    <w:rsid w:val="00A17E3F"/>
    <w:rsid w:val="00AC52DF"/>
    <w:rsid w:val="00AD012C"/>
    <w:rsid w:val="00AE321B"/>
    <w:rsid w:val="00B15C91"/>
    <w:rsid w:val="00B5443F"/>
    <w:rsid w:val="00B72C38"/>
    <w:rsid w:val="00BB42DD"/>
    <w:rsid w:val="00BF2147"/>
    <w:rsid w:val="00C24CA2"/>
    <w:rsid w:val="00C6453E"/>
    <w:rsid w:val="00C92B2F"/>
    <w:rsid w:val="00CA5FDD"/>
    <w:rsid w:val="00CD6A69"/>
    <w:rsid w:val="00D013C8"/>
    <w:rsid w:val="00DA7CF3"/>
    <w:rsid w:val="00DE1170"/>
    <w:rsid w:val="00DE1D9F"/>
    <w:rsid w:val="00E1586A"/>
    <w:rsid w:val="00E44510"/>
    <w:rsid w:val="00E633D3"/>
    <w:rsid w:val="00E6354E"/>
    <w:rsid w:val="00E6601A"/>
    <w:rsid w:val="00E83E51"/>
    <w:rsid w:val="00E87A3B"/>
    <w:rsid w:val="00E90446"/>
    <w:rsid w:val="00EA0DB3"/>
    <w:rsid w:val="00EE7063"/>
    <w:rsid w:val="00F27791"/>
    <w:rsid w:val="00F40C36"/>
    <w:rsid w:val="00F62B70"/>
    <w:rsid w:val="00F8766A"/>
    <w:rsid w:val="00FC4A6A"/>
    <w:rsid w:val="00FC7469"/>
    <w:rsid w:val="00FD48A9"/>
    <w:rsid w:val="01372051"/>
    <w:rsid w:val="01C012ED"/>
    <w:rsid w:val="021D229B"/>
    <w:rsid w:val="027F2F56"/>
    <w:rsid w:val="02EE1D5F"/>
    <w:rsid w:val="037759DB"/>
    <w:rsid w:val="03D472D2"/>
    <w:rsid w:val="04DA0918"/>
    <w:rsid w:val="05641532"/>
    <w:rsid w:val="05665D07"/>
    <w:rsid w:val="05BE5B43"/>
    <w:rsid w:val="05D9297D"/>
    <w:rsid w:val="0768045D"/>
    <w:rsid w:val="083D71F3"/>
    <w:rsid w:val="09016473"/>
    <w:rsid w:val="092B34F0"/>
    <w:rsid w:val="096807EE"/>
    <w:rsid w:val="0A5151D8"/>
    <w:rsid w:val="0A7B2255"/>
    <w:rsid w:val="0B1B1342"/>
    <w:rsid w:val="0B2226D0"/>
    <w:rsid w:val="0C4F583E"/>
    <w:rsid w:val="0CE51C08"/>
    <w:rsid w:val="0DB31D06"/>
    <w:rsid w:val="0F2F1860"/>
    <w:rsid w:val="0FE20680"/>
    <w:rsid w:val="100B407B"/>
    <w:rsid w:val="11383ACD"/>
    <w:rsid w:val="113A4C18"/>
    <w:rsid w:val="120D5E88"/>
    <w:rsid w:val="122431D2"/>
    <w:rsid w:val="12A10CC7"/>
    <w:rsid w:val="137D703E"/>
    <w:rsid w:val="146A5CF3"/>
    <w:rsid w:val="146F2E2A"/>
    <w:rsid w:val="15830660"/>
    <w:rsid w:val="163F4A7E"/>
    <w:rsid w:val="16B74615"/>
    <w:rsid w:val="16E86EC4"/>
    <w:rsid w:val="172B6DB1"/>
    <w:rsid w:val="18610323"/>
    <w:rsid w:val="18F06FEA"/>
    <w:rsid w:val="18F27B86"/>
    <w:rsid w:val="19445F08"/>
    <w:rsid w:val="196008DB"/>
    <w:rsid w:val="1A073B05"/>
    <w:rsid w:val="1B8C2514"/>
    <w:rsid w:val="1C99656B"/>
    <w:rsid w:val="1CAC44F0"/>
    <w:rsid w:val="1D0460DA"/>
    <w:rsid w:val="1D525097"/>
    <w:rsid w:val="1DC30469"/>
    <w:rsid w:val="1E4F15D7"/>
    <w:rsid w:val="1E8F5E77"/>
    <w:rsid w:val="1EF74148"/>
    <w:rsid w:val="1F7312F5"/>
    <w:rsid w:val="1F7E6617"/>
    <w:rsid w:val="209E65E7"/>
    <w:rsid w:val="21090163"/>
    <w:rsid w:val="218C13D2"/>
    <w:rsid w:val="22373017"/>
    <w:rsid w:val="22F015DA"/>
    <w:rsid w:val="23A44173"/>
    <w:rsid w:val="23DC390D"/>
    <w:rsid w:val="23FA28D5"/>
    <w:rsid w:val="245C2E6B"/>
    <w:rsid w:val="249E6E14"/>
    <w:rsid w:val="24E011DB"/>
    <w:rsid w:val="256718FC"/>
    <w:rsid w:val="259A3A7F"/>
    <w:rsid w:val="25B508B9"/>
    <w:rsid w:val="25C12DBA"/>
    <w:rsid w:val="26D0702D"/>
    <w:rsid w:val="27455C6D"/>
    <w:rsid w:val="28033B5E"/>
    <w:rsid w:val="2838132E"/>
    <w:rsid w:val="28904CC6"/>
    <w:rsid w:val="292E4C0A"/>
    <w:rsid w:val="292F0982"/>
    <w:rsid w:val="298C321D"/>
    <w:rsid w:val="2A0140CD"/>
    <w:rsid w:val="2A622692"/>
    <w:rsid w:val="2A834AE2"/>
    <w:rsid w:val="2B035C23"/>
    <w:rsid w:val="2B85488A"/>
    <w:rsid w:val="2BA47406"/>
    <w:rsid w:val="2BCE4483"/>
    <w:rsid w:val="2C3D5164"/>
    <w:rsid w:val="2C5A3F68"/>
    <w:rsid w:val="2D4D13D7"/>
    <w:rsid w:val="2D89528C"/>
    <w:rsid w:val="2DA07759"/>
    <w:rsid w:val="2DA52FC1"/>
    <w:rsid w:val="2DC04A9C"/>
    <w:rsid w:val="2DFF6B75"/>
    <w:rsid w:val="2E184591"/>
    <w:rsid w:val="2E1E3EC8"/>
    <w:rsid w:val="2E6115DE"/>
    <w:rsid w:val="2E8E1CA7"/>
    <w:rsid w:val="2E951288"/>
    <w:rsid w:val="2E9F08DA"/>
    <w:rsid w:val="300A6B18"/>
    <w:rsid w:val="30FD4F93"/>
    <w:rsid w:val="315F792B"/>
    <w:rsid w:val="3163566D"/>
    <w:rsid w:val="316B62D0"/>
    <w:rsid w:val="31F47267"/>
    <w:rsid w:val="32285F6F"/>
    <w:rsid w:val="322F3062"/>
    <w:rsid w:val="32A45F3D"/>
    <w:rsid w:val="32B8317A"/>
    <w:rsid w:val="32DE0B4C"/>
    <w:rsid w:val="333F17C2"/>
    <w:rsid w:val="335B7DF5"/>
    <w:rsid w:val="33FE78CF"/>
    <w:rsid w:val="344828F8"/>
    <w:rsid w:val="34873421"/>
    <w:rsid w:val="353D7F83"/>
    <w:rsid w:val="35A70D3B"/>
    <w:rsid w:val="35AD335B"/>
    <w:rsid w:val="365D6B2F"/>
    <w:rsid w:val="37770D44"/>
    <w:rsid w:val="37BE34B0"/>
    <w:rsid w:val="37FA258F"/>
    <w:rsid w:val="38F82B3F"/>
    <w:rsid w:val="3A9E7870"/>
    <w:rsid w:val="3AF70BD4"/>
    <w:rsid w:val="3B07350D"/>
    <w:rsid w:val="3B245E6D"/>
    <w:rsid w:val="3CE37662"/>
    <w:rsid w:val="3D4470F6"/>
    <w:rsid w:val="3D55095C"/>
    <w:rsid w:val="3EB92D70"/>
    <w:rsid w:val="3F780536"/>
    <w:rsid w:val="3FA64240"/>
    <w:rsid w:val="3FCC262F"/>
    <w:rsid w:val="3FE536F1"/>
    <w:rsid w:val="40D86CF7"/>
    <w:rsid w:val="41087697"/>
    <w:rsid w:val="41327CBE"/>
    <w:rsid w:val="417B7450"/>
    <w:rsid w:val="41FF6CEC"/>
    <w:rsid w:val="42332E3A"/>
    <w:rsid w:val="424010B3"/>
    <w:rsid w:val="45DE130F"/>
    <w:rsid w:val="4629258A"/>
    <w:rsid w:val="4646138E"/>
    <w:rsid w:val="46B8390E"/>
    <w:rsid w:val="471975D2"/>
    <w:rsid w:val="474D5189"/>
    <w:rsid w:val="47997EBD"/>
    <w:rsid w:val="49383370"/>
    <w:rsid w:val="4B2B6DA4"/>
    <w:rsid w:val="4B4B4D50"/>
    <w:rsid w:val="4D862108"/>
    <w:rsid w:val="4DA150FB"/>
    <w:rsid w:val="4E96144B"/>
    <w:rsid w:val="4F2953A8"/>
    <w:rsid w:val="4F626B0C"/>
    <w:rsid w:val="4F6C798B"/>
    <w:rsid w:val="500951DA"/>
    <w:rsid w:val="50100316"/>
    <w:rsid w:val="51792CBB"/>
    <w:rsid w:val="524D5852"/>
    <w:rsid w:val="53717010"/>
    <w:rsid w:val="538B4884"/>
    <w:rsid w:val="53CE5722"/>
    <w:rsid w:val="53E82F40"/>
    <w:rsid w:val="54216F96"/>
    <w:rsid w:val="54444A33"/>
    <w:rsid w:val="54635A77"/>
    <w:rsid w:val="55603AEE"/>
    <w:rsid w:val="55AC6D33"/>
    <w:rsid w:val="55E97640"/>
    <w:rsid w:val="55F66200"/>
    <w:rsid w:val="561072C2"/>
    <w:rsid w:val="56666EE2"/>
    <w:rsid w:val="57034731"/>
    <w:rsid w:val="58816051"/>
    <w:rsid w:val="58A3441E"/>
    <w:rsid w:val="58E14F46"/>
    <w:rsid w:val="5976568E"/>
    <w:rsid w:val="5A380B96"/>
    <w:rsid w:val="5A7F4A16"/>
    <w:rsid w:val="5ACF0861"/>
    <w:rsid w:val="5BC00E43"/>
    <w:rsid w:val="5BCA1CC1"/>
    <w:rsid w:val="5BCA7DFD"/>
    <w:rsid w:val="5C2C472A"/>
    <w:rsid w:val="5C797243"/>
    <w:rsid w:val="5CF60E57"/>
    <w:rsid w:val="5D9562FF"/>
    <w:rsid w:val="5DD45079"/>
    <w:rsid w:val="5E135BA1"/>
    <w:rsid w:val="5E7C4CEA"/>
    <w:rsid w:val="5E8372D2"/>
    <w:rsid w:val="5FA42829"/>
    <w:rsid w:val="5FA55B60"/>
    <w:rsid w:val="60326D30"/>
    <w:rsid w:val="62B40FD5"/>
    <w:rsid w:val="62EB2CD8"/>
    <w:rsid w:val="63141A74"/>
    <w:rsid w:val="636A4566"/>
    <w:rsid w:val="64383FFB"/>
    <w:rsid w:val="648C674C"/>
    <w:rsid w:val="64FB2EEB"/>
    <w:rsid w:val="65B521C6"/>
    <w:rsid w:val="66430FEE"/>
    <w:rsid w:val="66862C89"/>
    <w:rsid w:val="67627252"/>
    <w:rsid w:val="67FD4107"/>
    <w:rsid w:val="68B57855"/>
    <w:rsid w:val="69450BD9"/>
    <w:rsid w:val="6A8B4D12"/>
    <w:rsid w:val="6AF02DC7"/>
    <w:rsid w:val="6B286A04"/>
    <w:rsid w:val="6B6F4633"/>
    <w:rsid w:val="6B9F6CC6"/>
    <w:rsid w:val="6D373B01"/>
    <w:rsid w:val="6D567859"/>
    <w:rsid w:val="6E70494A"/>
    <w:rsid w:val="6EB14D27"/>
    <w:rsid w:val="6EBE3907"/>
    <w:rsid w:val="6FB2689C"/>
    <w:rsid w:val="70286B8A"/>
    <w:rsid w:val="703451D7"/>
    <w:rsid w:val="70FE448F"/>
    <w:rsid w:val="726431DD"/>
    <w:rsid w:val="727D13E4"/>
    <w:rsid w:val="72B8241C"/>
    <w:rsid w:val="735D2FC3"/>
    <w:rsid w:val="73DD4830"/>
    <w:rsid w:val="7400407A"/>
    <w:rsid w:val="741B0EB4"/>
    <w:rsid w:val="7491561A"/>
    <w:rsid w:val="757840E4"/>
    <w:rsid w:val="75A4BCFC"/>
    <w:rsid w:val="770E38E2"/>
    <w:rsid w:val="77BF59F4"/>
    <w:rsid w:val="781F4CEB"/>
    <w:rsid w:val="78E0447A"/>
    <w:rsid w:val="78EC0243"/>
    <w:rsid w:val="78FF41F3"/>
    <w:rsid w:val="79030B7F"/>
    <w:rsid w:val="79BD656A"/>
    <w:rsid w:val="7A783A04"/>
    <w:rsid w:val="7AAA11E4"/>
    <w:rsid w:val="7BB35E76"/>
    <w:rsid w:val="7C84479C"/>
    <w:rsid w:val="7D1D5C9D"/>
    <w:rsid w:val="7D250FF6"/>
    <w:rsid w:val="7D7B5EB4"/>
    <w:rsid w:val="7E4F0CB7"/>
    <w:rsid w:val="7E6B47E6"/>
    <w:rsid w:val="8EE6B1EF"/>
    <w:rsid w:val="AFFDD92D"/>
    <w:rsid w:val="BCFFFA27"/>
    <w:rsid w:val="BE9F6135"/>
    <w:rsid w:val="BFBF80E3"/>
    <w:rsid w:val="CAFF2319"/>
    <w:rsid w:val="D7F7CB61"/>
    <w:rsid w:val="D87E4752"/>
    <w:rsid w:val="EECAA65B"/>
    <w:rsid w:val="F3FF2CBA"/>
    <w:rsid w:val="FAEECC2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 w:hAnsi="仿宋" w:eastAsia="仿宋" w:cs="仿宋"/>
      <w:sz w:val="22"/>
      <w:szCs w:val="22"/>
      <w:lang w:val="en-US" w:eastAsia="en-US" w:bidi="ar-SA"/>
    </w:rPr>
  </w:style>
  <w:style w:type="paragraph" w:styleId="4">
    <w:name w:val="heading 1"/>
    <w:basedOn w:val="1"/>
    <w:next w:val="1"/>
    <w:link w:val="18"/>
    <w:qFormat/>
    <w:uiPriority w:val="9"/>
    <w:pPr>
      <w:ind w:left="2952"/>
      <w:outlineLvl w:val="0"/>
    </w:pPr>
    <w:rPr>
      <w:rFonts w:ascii="黑体" w:hAnsi="黑体" w:eastAsia="黑体" w:cs="黑体"/>
      <w:sz w:val="44"/>
      <w:szCs w:val="44"/>
    </w:rPr>
  </w:style>
  <w:style w:type="paragraph" w:styleId="5">
    <w:name w:val="heading 2"/>
    <w:basedOn w:val="1"/>
    <w:next w:val="1"/>
    <w:link w:val="31"/>
    <w:qFormat/>
    <w:uiPriority w:val="9"/>
    <w:pPr>
      <w:keepNext/>
      <w:keepLines/>
      <w:spacing w:before="260" w:after="260" w:line="416" w:lineRule="auto"/>
      <w:outlineLvl w:val="1"/>
    </w:pPr>
    <w:rPr>
      <w:rFonts w:ascii="Calibri Light" w:hAnsi="Calibri Light" w:eastAsia="宋体" w:cs="宋体"/>
      <w:b/>
      <w:bCs/>
      <w:sz w:val="32"/>
      <w:szCs w:val="32"/>
    </w:rPr>
  </w:style>
  <w:style w:type="paragraph" w:styleId="6">
    <w:name w:val="heading 3"/>
    <w:basedOn w:val="1"/>
    <w:next w:val="1"/>
    <w:link w:val="35"/>
    <w:qFormat/>
    <w:uiPriority w:val="0"/>
    <w:pPr>
      <w:keepNext/>
      <w:keepLines/>
      <w:spacing w:before="260" w:after="260" w:line="416" w:lineRule="auto"/>
      <w:outlineLvl w:val="2"/>
    </w:pPr>
    <w:rPr>
      <w:b/>
      <w:bCs/>
      <w:sz w:val="32"/>
      <w:szCs w:val="32"/>
    </w:rPr>
  </w:style>
  <w:style w:type="paragraph" w:styleId="7">
    <w:name w:val="heading 4"/>
    <w:basedOn w:val="1"/>
    <w:next w:val="1"/>
    <w:link w:val="38"/>
    <w:qFormat/>
    <w:uiPriority w:val="0"/>
    <w:pPr>
      <w:keepNext/>
      <w:keepLines/>
      <w:spacing w:before="280" w:after="290" w:line="376" w:lineRule="auto"/>
      <w:outlineLvl w:val="3"/>
    </w:pPr>
    <w:rPr>
      <w:rFonts w:ascii="Calibri Light" w:hAnsi="Calibri Light" w:eastAsia="宋体" w:cs="宋体"/>
      <w:b/>
      <w:bCs/>
      <w:sz w:val="28"/>
      <w:szCs w:val="28"/>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1128" w:firstLineChars="403"/>
    </w:pPr>
    <w:rPr>
      <w:rFonts w:ascii="宋体" w:hAnsi="宋体"/>
      <w:sz w:val="28"/>
    </w:rPr>
  </w:style>
  <w:style w:type="paragraph" w:styleId="8">
    <w:name w:val="annotation text"/>
    <w:basedOn w:val="1"/>
    <w:link w:val="39"/>
    <w:qFormat/>
    <w:uiPriority w:val="0"/>
    <w:pPr>
      <w:autoSpaceDE/>
      <w:autoSpaceDN/>
    </w:pPr>
    <w:rPr>
      <w:rFonts w:ascii="Calibri" w:hAnsi="Calibri" w:eastAsia="宋体" w:cs="宋体"/>
      <w:kern w:val="2"/>
      <w:sz w:val="21"/>
      <w:szCs w:val="24"/>
      <w:lang w:eastAsia="zh-CN"/>
    </w:rPr>
  </w:style>
  <w:style w:type="paragraph" w:styleId="9">
    <w:name w:val="Body Text"/>
    <w:basedOn w:val="1"/>
    <w:link w:val="24"/>
    <w:qFormat/>
    <w:uiPriority w:val="1"/>
    <w:pPr>
      <w:spacing w:line="360" w:lineRule="auto"/>
    </w:pPr>
    <w:rPr>
      <w:rFonts w:ascii="宋体" w:hAnsi="宋体" w:eastAsia="宋体" w:cs="宋体"/>
      <w:color w:val="000000"/>
      <w:kern w:val="2"/>
      <w:sz w:val="24"/>
      <w:szCs w:val="24"/>
      <w:lang w:eastAsia="zh-CN"/>
    </w:rPr>
  </w:style>
  <w:style w:type="paragraph" w:styleId="10">
    <w:name w:val="Plain Text"/>
    <w:basedOn w:val="1"/>
    <w:link w:val="46"/>
    <w:qFormat/>
    <w:uiPriority w:val="0"/>
    <w:rPr>
      <w:rFonts w:ascii="新宋体" w:hAnsi="新宋体"/>
      <w:szCs w:val="21"/>
    </w:rPr>
  </w:style>
  <w:style w:type="paragraph" w:styleId="11">
    <w:name w:val="footer"/>
    <w:basedOn w:val="1"/>
    <w:link w:val="22"/>
    <w:qFormat/>
    <w:uiPriority w:val="0"/>
    <w:pPr>
      <w:tabs>
        <w:tab w:val="center" w:pos="4153"/>
        <w:tab w:val="right" w:pos="8306"/>
      </w:tabs>
      <w:snapToGrid w:val="0"/>
    </w:pPr>
    <w:rPr>
      <w:sz w:val="18"/>
      <w:szCs w:val="18"/>
    </w:rPr>
  </w:style>
  <w:style w:type="paragraph" w:styleId="12">
    <w:name w:val="header"/>
    <w:basedOn w:val="1"/>
    <w:link w:val="21"/>
    <w:qFormat/>
    <w:uiPriority w:val="0"/>
    <w:pPr>
      <w:tabs>
        <w:tab w:val="center" w:pos="4153"/>
        <w:tab w:val="right" w:pos="8306"/>
      </w:tabs>
      <w:snapToGrid w:val="0"/>
      <w:jc w:val="center"/>
    </w:pPr>
    <w:rPr>
      <w:sz w:val="18"/>
      <w:szCs w:val="18"/>
    </w:rPr>
  </w:style>
  <w:style w:type="paragraph" w:styleId="13">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eastAsia="zh-CN"/>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customStyle="1" w:styleId="18">
    <w:name w:val="标题 1 字符"/>
    <w:basedOn w:val="16"/>
    <w:link w:val="4"/>
    <w:qFormat/>
    <w:uiPriority w:val="9"/>
    <w:rPr>
      <w:rFonts w:ascii="黑体" w:hAnsi="黑体" w:eastAsia="黑体" w:cs="黑体"/>
      <w:sz w:val="44"/>
      <w:szCs w:val="44"/>
      <w:lang w:eastAsia="en-US"/>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表格文字"/>
    <w:qFormat/>
    <w:uiPriority w:val="99"/>
    <w:pPr>
      <w:widowControl w:val="0"/>
      <w:spacing w:before="25" w:after="25"/>
      <w:jc w:val="both"/>
    </w:pPr>
    <w:rPr>
      <w:rFonts w:ascii="Calibri" w:hAnsi="Calibri" w:eastAsia="宋体" w:cs="Times New Roman"/>
      <w:bCs/>
      <w:spacing w:val="10"/>
      <w:kern w:val="2"/>
      <w:sz w:val="24"/>
      <w:lang w:val="en-US" w:eastAsia="zh-CN" w:bidi="ar-SA"/>
    </w:rPr>
  </w:style>
  <w:style w:type="character" w:customStyle="1" w:styleId="21">
    <w:name w:val="页眉 字符"/>
    <w:basedOn w:val="16"/>
    <w:link w:val="12"/>
    <w:qFormat/>
    <w:uiPriority w:val="0"/>
    <w:rPr>
      <w:rFonts w:ascii="仿宋" w:hAnsi="仿宋" w:eastAsia="仿宋" w:cs="仿宋"/>
      <w:sz w:val="18"/>
      <w:szCs w:val="18"/>
      <w:lang w:eastAsia="en-US"/>
    </w:rPr>
  </w:style>
  <w:style w:type="character" w:customStyle="1" w:styleId="22">
    <w:name w:val="页脚 字符"/>
    <w:basedOn w:val="16"/>
    <w:link w:val="11"/>
    <w:qFormat/>
    <w:uiPriority w:val="0"/>
    <w:rPr>
      <w:rFonts w:ascii="仿宋" w:hAnsi="仿宋" w:eastAsia="仿宋" w:cs="仿宋"/>
      <w:sz w:val="18"/>
      <w:szCs w:val="18"/>
      <w:lang w:eastAsia="en-US"/>
    </w:rPr>
  </w:style>
  <w:style w:type="paragraph" w:customStyle="1" w:styleId="23">
    <w:name w:val="be358f00-9758-446e-aec5-cde8345aeef3"/>
    <w:basedOn w:val="9"/>
    <w:link w:val="25"/>
    <w:qFormat/>
    <w:uiPriority w:val="0"/>
    <w:pPr>
      <w:adjustRightInd w:val="0"/>
      <w:spacing w:line="288" w:lineRule="auto"/>
      <w:ind w:firstLine="440"/>
    </w:pPr>
    <w:rPr>
      <w:rFonts w:ascii="微软雅黑" w:hAnsi="微软雅黑" w:eastAsia="微软雅黑"/>
      <w:sz w:val="22"/>
    </w:rPr>
  </w:style>
  <w:style w:type="character" w:customStyle="1" w:styleId="24">
    <w:name w:val="正文文本 字符"/>
    <w:basedOn w:val="16"/>
    <w:link w:val="9"/>
    <w:qFormat/>
    <w:uiPriority w:val="1"/>
    <w:rPr>
      <w:rFonts w:ascii="宋体" w:hAnsi="宋体" w:eastAsia="宋体" w:cs="宋体"/>
      <w:color w:val="000000"/>
      <w:kern w:val="2"/>
      <w:sz w:val="24"/>
      <w:szCs w:val="24"/>
    </w:rPr>
  </w:style>
  <w:style w:type="character" w:customStyle="1" w:styleId="25">
    <w:name w:val="be358f00-9758-446e-aec5-cde8345aeef3 字符"/>
    <w:basedOn w:val="24"/>
    <w:link w:val="23"/>
    <w:qFormat/>
    <w:uiPriority w:val="0"/>
    <w:rPr>
      <w:rFonts w:ascii="微软雅黑" w:hAnsi="微软雅黑" w:eastAsia="微软雅黑" w:cs="宋体"/>
      <w:color w:val="000000"/>
      <w:kern w:val="2"/>
      <w:sz w:val="22"/>
      <w:szCs w:val="24"/>
      <w:lang w:eastAsia="en-US"/>
    </w:rPr>
  </w:style>
  <w:style w:type="paragraph" w:customStyle="1" w:styleId="26">
    <w:name w:val="bd243d13-394e-4bd9-99c9-3a29947aa2a1"/>
    <w:basedOn w:val="9"/>
    <w:link w:val="27"/>
    <w:qFormat/>
    <w:uiPriority w:val="0"/>
    <w:pPr>
      <w:adjustRightInd w:val="0"/>
      <w:spacing w:line="600" w:lineRule="exact"/>
      <w:ind w:firstLine="640"/>
      <w:jc w:val="both"/>
    </w:pPr>
  </w:style>
  <w:style w:type="character" w:customStyle="1" w:styleId="27">
    <w:name w:val="bd243d13-394e-4bd9-99c9-3a29947aa2a1 字符"/>
    <w:basedOn w:val="24"/>
    <w:link w:val="26"/>
    <w:qFormat/>
    <w:uiPriority w:val="0"/>
    <w:rPr>
      <w:rFonts w:ascii="仿宋" w:hAnsi="仿宋" w:eastAsia="仿宋" w:cs="宋体"/>
      <w:color w:val="000000"/>
      <w:kern w:val="2"/>
      <w:sz w:val="32"/>
      <w:szCs w:val="24"/>
      <w:lang w:eastAsia="en-US"/>
    </w:rPr>
  </w:style>
  <w:style w:type="paragraph" w:customStyle="1" w:styleId="28">
    <w:name w:val="71e7dc79-1ff7-45e8-997d-0ebda3762b91"/>
    <w:basedOn w:val="5"/>
    <w:next w:val="29"/>
    <w:link w:val="30"/>
    <w:qFormat/>
    <w:uiPriority w:val="0"/>
    <w:pPr>
      <w:adjustRightInd w:val="0"/>
      <w:spacing w:before="0" w:after="0" w:line="288" w:lineRule="auto"/>
    </w:pPr>
    <w:rPr>
      <w:rFonts w:ascii="微软雅黑" w:hAnsi="微软雅黑" w:eastAsia="微软雅黑"/>
      <w:color w:val="000000"/>
      <w:kern w:val="2"/>
      <w:sz w:val="28"/>
      <w:szCs w:val="24"/>
    </w:rPr>
  </w:style>
  <w:style w:type="paragraph" w:customStyle="1" w:styleId="29">
    <w:name w:val="acbfdd8b-e11b-4d36-88ff-6049b138f862"/>
    <w:basedOn w:val="9"/>
    <w:link w:val="32"/>
    <w:qFormat/>
    <w:uiPriority w:val="0"/>
    <w:pPr>
      <w:adjustRightInd w:val="0"/>
      <w:spacing w:line="288" w:lineRule="auto"/>
    </w:pPr>
    <w:rPr>
      <w:rFonts w:ascii="微软雅黑" w:hAnsi="微软雅黑" w:eastAsia="微软雅黑"/>
      <w:sz w:val="22"/>
    </w:rPr>
  </w:style>
  <w:style w:type="character" w:customStyle="1" w:styleId="30">
    <w:name w:val="71e7dc79-1ff7-45e8-997d-0ebda3762b91 字符"/>
    <w:basedOn w:val="24"/>
    <w:link w:val="28"/>
    <w:qFormat/>
    <w:uiPriority w:val="0"/>
    <w:rPr>
      <w:rFonts w:ascii="微软雅黑" w:hAnsi="微软雅黑" w:eastAsia="微软雅黑" w:cs="宋体"/>
      <w:b/>
      <w:bCs/>
      <w:color w:val="000000"/>
      <w:kern w:val="2"/>
      <w:sz w:val="28"/>
      <w:szCs w:val="24"/>
      <w:lang w:eastAsia="en-US"/>
    </w:rPr>
  </w:style>
  <w:style w:type="character" w:customStyle="1" w:styleId="31">
    <w:name w:val="标题 2 字符"/>
    <w:basedOn w:val="16"/>
    <w:link w:val="5"/>
    <w:qFormat/>
    <w:uiPriority w:val="9"/>
    <w:rPr>
      <w:rFonts w:ascii="Calibri Light" w:hAnsi="Calibri Light" w:eastAsia="宋体" w:cs="宋体"/>
      <w:b/>
      <w:bCs/>
      <w:sz w:val="32"/>
      <w:szCs w:val="32"/>
      <w:lang w:eastAsia="en-US"/>
    </w:rPr>
  </w:style>
  <w:style w:type="character" w:customStyle="1" w:styleId="32">
    <w:name w:val="acbfdd8b-e11b-4d36-88ff-6049b138f862 字符"/>
    <w:basedOn w:val="24"/>
    <w:link w:val="29"/>
    <w:qFormat/>
    <w:uiPriority w:val="0"/>
    <w:rPr>
      <w:rFonts w:ascii="微软雅黑" w:hAnsi="微软雅黑" w:eastAsia="微软雅黑" w:cs="宋体"/>
      <w:color w:val="000000"/>
      <w:kern w:val="2"/>
      <w:sz w:val="22"/>
      <w:szCs w:val="24"/>
      <w:lang w:eastAsia="en-US"/>
    </w:rPr>
  </w:style>
  <w:style w:type="paragraph" w:customStyle="1" w:styleId="33">
    <w:name w:val="b63ee27f-4cf3-414c-9275-d88e3f90795e"/>
    <w:basedOn w:val="6"/>
    <w:next w:val="29"/>
    <w:link w:val="34"/>
    <w:qFormat/>
    <w:uiPriority w:val="0"/>
    <w:pPr>
      <w:adjustRightInd w:val="0"/>
      <w:spacing w:before="0" w:after="0" w:line="288" w:lineRule="auto"/>
    </w:pPr>
    <w:rPr>
      <w:rFonts w:ascii="微软雅黑" w:hAnsi="微软雅黑" w:eastAsia="微软雅黑" w:cs="宋体"/>
      <w:bCs w:val="0"/>
      <w:color w:val="000000"/>
      <w:kern w:val="2"/>
      <w:sz w:val="26"/>
      <w:szCs w:val="24"/>
    </w:rPr>
  </w:style>
  <w:style w:type="character" w:customStyle="1" w:styleId="34">
    <w:name w:val="b63ee27f-4cf3-414c-9275-d88e3f90795e 字符"/>
    <w:basedOn w:val="24"/>
    <w:link w:val="33"/>
    <w:qFormat/>
    <w:uiPriority w:val="0"/>
    <w:rPr>
      <w:rFonts w:ascii="微软雅黑" w:hAnsi="微软雅黑" w:eastAsia="微软雅黑" w:cs="宋体"/>
      <w:b/>
      <w:color w:val="000000"/>
      <w:kern w:val="2"/>
      <w:sz w:val="26"/>
      <w:szCs w:val="24"/>
      <w:lang w:eastAsia="en-US"/>
    </w:rPr>
  </w:style>
  <w:style w:type="character" w:customStyle="1" w:styleId="35">
    <w:name w:val="标题 3 字符"/>
    <w:basedOn w:val="16"/>
    <w:link w:val="6"/>
    <w:qFormat/>
    <w:uiPriority w:val="0"/>
    <w:rPr>
      <w:rFonts w:ascii="仿宋" w:hAnsi="仿宋" w:eastAsia="仿宋" w:cs="仿宋"/>
      <w:b/>
      <w:bCs/>
      <w:sz w:val="32"/>
      <w:szCs w:val="32"/>
      <w:lang w:eastAsia="en-US"/>
    </w:rPr>
  </w:style>
  <w:style w:type="paragraph" w:customStyle="1" w:styleId="36">
    <w:name w:val="566ba9ff-a5b0-4b6f-bbdf-c3ab41993fc2"/>
    <w:basedOn w:val="7"/>
    <w:next w:val="29"/>
    <w:link w:val="37"/>
    <w:qFormat/>
    <w:uiPriority w:val="0"/>
    <w:pPr>
      <w:adjustRightInd w:val="0"/>
      <w:spacing w:before="0" w:after="0" w:line="288" w:lineRule="auto"/>
    </w:pPr>
    <w:rPr>
      <w:rFonts w:ascii="微软雅黑" w:hAnsi="微软雅黑" w:eastAsia="微软雅黑"/>
      <w:bCs w:val="0"/>
      <w:color w:val="000000"/>
      <w:kern w:val="2"/>
      <w:sz w:val="24"/>
      <w:szCs w:val="24"/>
    </w:rPr>
  </w:style>
  <w:style w:type="character" w:customStyle="1" w:styleId="37">
    <w:name w:val="566ba9ff-a5b0-4b6f-bbdf-c3ab41993fc2 字符"/>
    <w:basedOn w:val="24"/>
    <w:link w:val="36"/>
    <w:qFormat/>
    <w:uiPriority w:val="0"/>
    <w:rPr>
      <w:rFonts w:ascii="微软雅黑" w:hAnsi="微软雅黑" w:eastAsia="微软雅黑" w:cs="宋体"/>
      <w:b/>
      <w:color w:val="000000"/>
      <w:kern w:val="2"/>
      <w:sz w:val="24"/>
      <w:szCs w:val="24"/>
      <w:lang w:eastAsia="en-US"/>
    </w:rPr>
  </w:style>
  <w:style w:type="character" w:customStyle="1" w:styleId="38">
    <w:name w:val="标题 4 字符"/>
    <w:basedOn w:val="16"/>
    <w:link w:val="7"/>
    <w:qFormat/>
    <w:uiPriority w:val="0"/>
    <w:rPr>
      <w:rFonts w:ascii="Calibri Light" w:hAnsi="Calibri Light" w:eastAsia="宋体" w:cs="宋体"/>
      <w:b/>
      <w:bCs/>
      <w:sz w:val="28"/>
      <w:szCs w:val="28"/>
      <w:lang w:eastAsia="en-US"/>
    </w:rPr>
  </w:style>
  <w:style w:type="character" w:customStyle="1" w:styleId="39">
    <w:name w:val="批注文字 字符"/>
    <w:basedOn w:val="16"/>
    <w:link w:val="8"/>
    <w:qFormat/>
    <w:uiPriority w:val="0"/>
    <w:rPr>
      <w:kern w:val="2"/>
      <w:sz w:val="21"/>
      <w:szCs w:val="24"/>
    </w:rPr>
  </w:style>
  <w:style w:type="paragraph" w:styleId="40">
    <w:name w:val="List Paragraph"/>
    <w:basedOn w:val="1"/>
    <w:qFormat/>
    <w:uiPriority w:val="1"/>
    <w:pPr>
      <w:autoSpaceDE/>
      <w:autoSpaceDN/>
      <w:ind w:firstLine="420" w:firstLineChars="200"/>
      <w:jc w:val="both"/>
    </w:pPr>
    <w:rPr>
      <w:rFonts w:ascii="Calibri" w:hAnsi="Calibri" w:eastAsia="宋体" w:cs="宋体"/>
      <w:kern w:val="2"/>
      <w:sz w:val="21"/>
      <w:szCs w:val="24"/>
      <w:lang w:eastAsia="zh-CN"/>
    </w:rPr>
  </w:style>
  <w:style w:type="paragraph" w:customStyle="1" w:styleId="41">
    <w:name w:val="正文 A"/>
    <w:qFormat/>
    <w:uiPriority w:val="0"/>
    <w:pPr>
      <w:framePr w:wrap="around" w:vAnchor="margin" w:hAnchor="text" w:yAlign="top"/>
      <w:widowControl w:val="0"/>
      <w:jc w:val="both"/>
    </w:pPr>
    <w:rPr>
      <w:rFonts w:ascii="Calibri" w:hAnsi="Calibri" w:eastAsia="Calibri" w:cs="Calibri"/>
      <w:color w:val="000000"/>
      <w:kern w:val="2"/>
      <w:sz w:val="21"/>
      <w:szCs w:val="21"/>
      <w:u w:color="000000"/>
      <w:lang w:val="en-US" w:eastAsia="zh-CN" w:bidi="ar-SA"/>
    </w:rPr>
  </w:style>
  <w:style w:type="character" w:customStyle="1" w:styleId="42">
    <w:name w:val="font31"/>
    <w:basedOn w:val="16"/>
    <w:qFormat/>
    <w:uiPriority w:val="0"/>
    <w:rPr>
      <w:rFonts w:hint="eastAsia" w:ascii="宋体" w:hAnsi="宋体" w:eastAsia="宋体" w:cs="宋体"/>
      <w:color w:val="000000"/>
      <w:sz w:val="21"/>
      <w:szCs w:val="21"/>
      <w:u w:val="none"/>
    </w:rPr>
  </w:style>
  <w:style w:type="paragraph" w:customStyle="1" w:styleId="43">
    <w:name w:val="Table Text"/>
    <w:basedOn w:val="1"/>
    <w:semiHidden/>
    <w:qFormat/>
    <w:uiPriority w:val="0"/>
    <w:rPr>
      <w:rFonts w:ascii="宋体" w:hAnsi="宋体" w:eastAsia="宋体" w:cs="宋体"/>
      <w:sz w:val="20"/>
      <w:szCs w:val="20"/>
    </w:rPr>
  </w:style>
  <w:style w:type="paragraph" w:customStyle="1" w:styleId="44">
    <w:name w:val="列出段落2"/>
    <w:basedOn w:val="1"/>
    <w:qFormat/>
    <w:uiPriority w:val="0"/>
    <w:pPr>
      <w:adjustRightInd w:val="0"/>
      <w:spacing w:line="312" w:lineRule="atLeast"/>
      <w:ind w:firstLine="420" w:firstLineChars="200"/>
      <w:textAlignment w:val="baseline"/>
    </w:pPr>
    <w:rPr>
      <w:rFonts w:ascii="新宋体" w:hAnsi="新宋体"/>
      <w:szCs w:val="20"/>
    </w:rPr>
  </w:style>
  <w:style w:type="table" w:customStyle="1" w:styleId="45">
    <w:name w:val="Table Normal"/>
    <w:basedOn w:val="14"/>
    <w:semiHidden/>
    <w:unhideWhenUsed/>
    <w:qFormat/>
    <w:uiPriority w:val="0"/>
    <w:tblPr>
      <w:tblCellMar>
        <w:left w:w="0" w:type="dxa"/>
        <w:right w:w="0" w:type="dxa"/>
      </w:tblCellMar>
    </w:tblPr>
  </w:style>
  <w:style w:type="character" w:customStyle="1" w:styleId="46">
    <w:name w:val="纯文本 字符"/>
    <w:link w:val="10"/>
    <w:qFormat/>
    <w:uiPriority w:val="0"/>
    <w:rPr>
      <w:rFonts w:ascii="新宋体" w:hAnsi="新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25C59-A982-4B8F-92C4-7B950FAA91F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4031</Words>
  <Characters>4229</Characters>
  <Lines>28</Lines>
  <Paragraphs>8</Paragraphs>
  <TotalTime>5</TotalTime>
  <ScaleCrop>false</ScaleCrop>
  <LinksUpToDate>false</LinksUpToDate>
  <CharactersWithSpaces>4309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2025-09-18T13:20:00Z</dcterms:created>
  <dc:creator>稻草人</dc:creator>
  <cp:lastModifiedBy>warm</cp:lastModifiedBy>
  <cp:lastPrinted>2024-10-11T00:34:00Z</cp:lastPrinted>
  <dcterms:modified xsi:type="dcterms:W3CDTF">2025-09-25T08:37:05Z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4AC2E93F660E42F8A7557D29656F5ECF_13</vt:lpwstr>
  </property>
  <property fmtid="{D5CDD505-2E9C-101B-9397-08002B2CF9AE}" pid="4" name="KSOTemplateDocerSaveRecord">
    <vt:lpwstr>eyJoZGlkIjoiMDc4ZjBhNTQ4YTA4ZTE1OTM2ZmFlOGZjYzYxN2E0YTUiLCJ1c2VySWQiOiI5Mjg3NDI2OTIifQ==</vt:lpwstr>
  </property>
</Properties>
</file>