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431E5">
      <w:pPr>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附件2：</w:t>
      </w:r>
    </w:p>
    <w:p w14:paraId="0BE25109">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广西工业技师学院化学工艺优质专业群内涵建设项目评分办法</w:t>
      </w:r>
    </w:p>
    <w:p w14:paraId="6AE889DD">
      <w:pPr>
        <w:pStyle w:val="2"/>
        <w:rPr>
          <w:lang w:eastAsia="zh-CN"/>
        </w:rPr>
      </w:pPr>
    </w:p>
    <w:p w14:paraId="769DDC26">
      <w:pPr>
        <w:adjustRightInd w:val="0"/>
        <w:spacing w:line="360" w:lineRule="exact"/>
        <w:ind w:firstLine="482" w:firstLineChars="200"/>
        <w:rPr>
          <w:rFonts w:ascii="宋体" w:hAnsi="宋体" w:eastAsia="宋体" w:cs="宋体"/>
          <w:b/>
          <w:sz w:val="24"/>
          <w:szCs w:val="24"/>
          <w:lang w:val="zh-CN" w:eastAsia="zh-CN"/>
        </w:rPr>
      </w:pPr>
      <w:r>
        <w:rPr>
          <w:rFonts w:hint="eastAsia" w:ascii="宋体" w:hAnsi="宋体" w:eastAsia="宋体" w:cs="宋体"/>
          <w:b/>
          <w:sz w:val="24"/>
          <w:szCs w:val="24"/>
          <w:lang w:val="zh-CN" w:eastAsia="zh-CN"/>
        </w:rPr>
        <w:t>一、评标原则</w:t>
      </w:r>
    </w:p>
    <w:p w14:paraId="21139CF6">
      <w:pPr>
        <w:adjustRightInd w:val="0"/>
        <w:spacing w:line="360" w:lineRule="exact"/>
        <w:ind w:firstLine="480" w:firstLineChars="200"/>
        <w:rPr>
          <w:rFonts w:ascii="宋体" w:hAnsi="宋体" w:eastAsia="宋体" w:cs="宋体"/>
          <w:sz w:val="24"/>
          <w:szCs w:val="24"/>
          <w:lang w:val="zh-CN" w:eastAsia="zh-CN"/>
        </w:rPr>
      </w:pPr>
      <w:bookmarkStart w:id="1" w:name="_GoBack"/>
      <w:r>
        <w:rPr>
          <w:rFonts w:hint="eastAsia" w:ascii="宋体" w:hAnsi="宋体" w:eastAsia="宋体" w:cs="宋体"/>
          <w:sz w:val="24"/>
          <w:szCs w:val="24"/>
          <w:lang w:val="zh-CN" w:eastAsia="zh-CN"/>
        </w:rPr>
        <w:t>（一）</w:t>
      </w:r>
      <w:bookmarkEnd w:id="1"/>
      <w:r>
        <w:rPr>
          <w:rFonts w:hint="eastAsia" w:ascii="宋体" w:hAnsi="宋体" w:eastAsia="宋体" w:cs="宋体"/>
          <w:sz w:val="24"/>
          <w:szCs w:val="24"/>
          <w:lang w:eastAsia="zh-CN"/>
        </w:rPr>
        <w:t>评标委员会</w:t>
      </w:r>
      <w:r>
        <w:rPr>
          <w:rFonts w:hint="eastAsia" w:ascii="宋体" w:hAnsi="宋体" w:eastAsia="宋体" w:cs="宋体"/>
          <w:sz w:val="24"/>
          <w:szCs w:val="24"/>
          <w:lang w:val="zh-CN" w:eastAsia="zh-CN"/>
        </w:rPr>
        <w:t>构成：本</w:t>
      </w:r>
      <w:r>
        <w:rPr>
          <w:rFonts w:hint="eastAsia" w:ascii="宋体" w:hAnsi="宋体" w:eastAsia="宋体" w:cs="宋体"/>
          <w:sz w:val="24"/>
          <w:szCs w:val="24"/>
          <w:lang w:eastAsia="zh-CN"/>
        </w:rPr>
        <w:t>次</w:t>
      </w:r>
      <w:r>
        <w:rPr>
          <w:rFonts w:hint="eastAsia" w:ascii="宋体" w:hAnsi="宋体" w:eastAsia="宋体" w:cs="宋体"/>
          <w:sz w:val="24"/>
          <w:szCs w:val="24"/>
          <w:lang w:val="zh-CN" w:eastAsia="zh-CN"/>
        </w:rPr>
        <w:t>采购项目的评委由</w:t>
      </w:r>
      <w:r>
        <w:rPr>
          <w:rFonts w:hint="eastAsia" w:ascii="宋体" w:hAnsi="宋体" w:eastAsia="宋体" w:cs="宋体"/>
          <w:b/>
          <w:bCs/>
          <w:sz w:val="24"/>
          <w:szCs w:val="24"/>
          <w:lang w:val="zh-CN" w:eastAsia="zh-CN"/>
        </w:rPr>
        <w:t>五人</w:t>
      </w:r>
      <w:r>
        <w:rPr>
          <w:rFonts w:hint="eastAsia" w:ascii="宋体" w:hAnsi="宋体" w:eastAsia="宋体" w:cs="宋体"/>
          <w:sz w:val="24"/>
          <w:szCs w:val="24"/>
          <w:lang w:val="zh-CN" w:eastAsia="zh-CN"/>
        </w:rPr>
        <w:t>以上单数构成。</w:t>
      </w:r>
    </w:p>
    <w:p w14:paraId="0879464A">
      <w:pPr>
        <w:adjustRightInd w:val="0"/>
        <w:spacing w:line="360" w:lineRule="exact"/>
        <w:ind w:firstLine="480" w:firstLineChars="200"/>
        <w:rPr>
          <w:rFonts w:ascii="宋体" w:hAnsi="宋体" w:eastAsia="宋体" w:cs="宋体"/>
          <w:sz w:val="24"/>
          <w:szCs w:val="24"/>
          <w:lang w:val="zh-CN" w:eastAsia="zh-CN"/>
        </w:rPr>
      </w:pPr>
      <w:r>
        <w:rPr>
          <w:rFonts w:hint="eastAsia" w:ascii="宋体" w:hAnsi="宋体" w:eastAsia="宋体" w:cs="宋体"/>
          <w:sz w:val="24"/>
          <w:szCs w:val="24"/>
          <w:lang w:val="zh-CN" w:eastAsia="zh-CN"/>
        </w:rPr>
        <w:t>（二）评标依据：</w:t>
      </w:r>
      <w:r>
        <w:rPr>
          <w:rFonts w:hint="eastAsia" w:ascii="宋体" w:hAnsi="宋体" w:eastAsia="宋体" w:cs="宋体"/>
          <w:sz w:val="24"/>
          <w:szCs w:val="24"/>
          <w:lang w:eastAsia="zh-CN"/>
        </w:rPr>
        <w:t>评标委员会</w:t>
      </w:r>
      <w:r>
        <w:rPr>
          <w:rFonts w:hint="eastAsia" w:ascii="宋体" w:hAnsi="宋体" w:eastAsia="宋体" w:cs="宋体"/>
          <w:sz w:val="24"/>
          <w:szCs w:val="24"/>
          <w:lang w:val="zh-CN" w:eastAsia="zh-CN"/>
        </w:rPr>
        <w:t>将以</w:t>
      </w:r>
      <w:r>
        <w:rPr>
          <w:rFonts w:hint="eastAsia" w:ascii="宋体" w:hAnsi="宋体" w:eastAsia="宋体" w:cs="宋体"/>
          <w:sz w:val="24"/>
          <w:szCs w:val="24"/>
          <w:lang w:eastAsia="zh-CN"/>
        </w:rPr>
        <w:t>招标</w:t>
      </w:r>
      <w:r>
        <w:rPr>
          <w:rFonts w:hint="eastAsia" w:ascii="宋体" w:hAnsi="宋体" w:eastAsia="宋体" w:cs="宋体"/>
          <w:sz w:val="24"/>
          <w:szCs w:val="24"/>
          <w:lang w:val="zh-CN" w:eastAsia="zh-CN"/>
        </w:rPr>
        <w:t>文件为评标依据，对磋商供应商的价格、服务</w:t>
      </w:r>
      <w:r>
        <w:rPr>
          <w:rFonts w:hint="eastAsia" w:ascii="宋体" w:hAnsi="宋体" w:eastAsia="宋体" w:cs="宋体"/>
          <w:sz w:val="24"/>
          <w:szCs w:val="24"/>
          <w:lang w:eastAsia="zh-CN"/>
        </w:rPr>
        <w:t>方案</w:t>
      </w:r>
      <w:r>
        <w:rPr>
          <w:rFonts w:hint="eastAsia" w:ascii="宋体" w:hAnsi="宋体" w:eastAsia="宋体" w:cs="宋体"/>
          <w:sz w:val="24"/>
          <w:szCs w:val="24"/>
          <w:lang w:val="zh-CN" w:eastAsia="zh-CN"/>
        </w:rPr>
        <w:t>、人员配备、</w:t>
      </w:r>
      <w:r>
        <w:rPr>
          <w:rFonts w:hint="eastAsia" w:ascii="宋体" w:hAnsi="宋体" w:eastAsia="宋体" w:cs="宋体"/>
          <w:sz w:val="24"/>
          <w:szCs w:val="24"/>
          <w:lang w:eastAsia="zh-CN"/>
        </w:rPr>
        <w:t>业绩</w:t>
      </w:r>
      <w:r>
        <w:rPr>
          <w:rFonts w:hint="eastAsia" w:ascii="宋体" w:hAnsi="宋体" w:eastAsia="宋体" w:cs="宋体"/>
          <w:sz w:val="24"/>
          <w:szCs w:val="24"/>
          <w:lang w:val="zh-CN" w:eastAsia="zh-CN"/>
        </w:rPr>
        <w:t>等方面内容按百分制评分。</w:t>
      </w:r>
    </w:p>
    <w:p w14:paraId="2F8A2BD9">
      <w:pPr>
        <w:adjustRightInd w:val="0"/>
        <w:spacing w:line="360" w:lineRule="exact"/>
        <w:ind w:firstLine="480" w:firstLineChars="200"/>
        <w:rPr>
          <w:rFonts w:ascii="宋体" w:hAnsi="宋体" w:eastAsia="宋体" w:cs="宋体"/>
          <w:sz w:val="24"/>
          <w:szCs w:val="24"/>
          <w:lang w:val="zh-CN" w:eastAsia="zh-CN"/>
        </w:rPr>
      </w:pPr>
      <w:r>
        <w:rPr>
          <w:rFonts w:hint="eastAsia" w:ascii="宋体" w:hAnsi="宋体" w:eastAsia="宋体" w:cs="宋体"/>
          <w:sz w:val="24"/>
          <w:szCs w:val="24"/>
          <w:lang w:val="zh-CN" w:eastAsia="zh-CN"/>
        </w:rPr>
        <w:t>（三）评标方式：以封闭方式进行。</w:t>
      </w:r>
    </w:p>
    <w:p w14:paraId="62C0E8B0">
      <w:pPr>
        <w:adjustRightInd w:val="0"/>
        <w:spacing w:line="360" w:lineRule="exact"/>
        <w:ind w:firstLine="482" w:firstLineChars="200"/>
        <w:rPr>
          <w:rFonts w:ascii="宋体" w:hAnsi="宋体" w:eastAsia="宋体" w:cs="宋体"/>
          <w:b/>
          <w:sz w:val="24"/>
          <w:szCs w:val="24"/>
          <w:lang w:val="zh-CN" w:eastAsia="zh-CN"/>
        </w:rPr>
      </w:pPr>
      <w:r>
        <w:rPr>
          <w:rFonts w:hint="eastAsia" w:ascii="宋体" w:hAnsi="宋体" w:eastAsia="宋体" w:cs="宋体"/>
          <w:b/>
          <w:sz w:val="24"/>
          <w:szCs w:val="24"/>
          <w:lang w:val="zh-CN" w:eastAsia="zh-CN"/>
        </w:rPr>
        <w:t>二、评标方法</w:t>
      </w:r>
    </w:p>
    <w:p w14:paraId="1DABA55F">
      <w:pPr>
        <w:adjustRightInd w:val="0"/>
        <w:spacing w:line="360" w:lineRule="exact"/>
        <w:ind w:firstLine="480" w:firstLineChars="200"/>
        <w:rPr>
          <w:rFonts w:ascii="宋体" w:hAnsi="宋体" w:eastAsia="宋体" w:cs="宋体"/>
          <w:sz w:val="24"/>
          <w:szCs w:val="24"/>
          <w:lang w:val="zh-CN" w:eastAsia="zh-CN"/>
        </w:rPr>
      </w:pPr>
      <w:r>
        <w:rPr>
          <w:rFonts w:hint="eastAsia" w:ascii="宋体" w:hAnsi="宋体" w:eastAsia="宋体" w:cs="宋体"/>
          <w:sz w:val="24"/>
          <w:szCs w:val="24"/>
          <w:lang w:val="zh-CN" w:eastAsia="zh-CN"/>
        </w:rPr>
        <w:t>（一）对进入详评的，采用百分制综合评分法。</w:t>
      </w:r>
    </w:p>
    <w:p w14:paraId="4CC52147">
      <w:pPr>
        <w:adjustRightInd w:val="0"/>
        <w:spacing w:line="360" w:lineRule="exact"/>
        <w:ind w:firstLine="480" w:firstLineChars="200"/>
        <w:rPr>
          <w:rFonts w:ascii="宋体" w:hAnsi="宋体" w:eastAsia="宋体" w:cs="宋体"/>
          <w:sz w:val="24"/>
          <w:szCs w:val="24"/>
          <w:lang w:val="zh-CN" w:eastAsia="zh-CN"/>
        </w:rPr>
      </w:pPr>
      <w:r>
        <w:rPr>
          <w:rFonts w:hint="eastAsia" w:ascii="宋体" w:hAnsi="宋体" w:eastAsia="宋体" w:cs="宋体"/>
          <w:sz w:val="24"/>
          <w:szCs w:val="24"/>
          <w:lang w:val="zh-CN" w:eastAsia="zh-CN"/>
        </w:rPr>
        <w:t>（二）计分办法（按四舍五入取至百分位）。</w:t>
      </w:r>
    </w:p>
    <w:p w14:paraId="4099A379">
      <w:pPr>
        <w:spacing w:line="360" w:lineRule="auto"/>
        <w:ind w:firstLine="480" w:firstLineChars="200"/>
        <w:rPr>
          <w:rFonts w:ascii="宋体" w:hAnsi="宋体" w:eastAsia="宋体" w:cs="等线"/>
          <w:color w:val="000000"/>
          <w:sz w:val="24"/>
          <w:szCs w:val="24"/>
          <w:lang w:eastAsia="zh-CN"/>
        </w:rPr>
      </w:pPr>
      <w:r>
        <w:rPr>
          <w:rFonts w:hint="eastAsia" w:ascii="宋体" w:hAnsi="宋体" w:eastAsia="宋体" w:cs="等线"/>
          <w:color w:val="000000"/>
          <w:sz w:val="24"/>
          <w:szCs w:val="24"/>
          <w:lang w:eastAsia="zh-CN"/>
        </w:rPr>
        <w:t>分值（权重）分配：评分总分最高为100分，商务、技术及价格评分分值（权重）分配设置如下：</w:t>
      </w:r>
    </w:p>
    <w:tbl>
      <w:tblPr>
        <w:tblStyle w:val="14"/>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889"/>
        <w:gridCol w:w="1701"/>
        <w:gridCol w:w="1609"/>
        <w:gridCol w:w="1609"/>
      </w:tblGrid>
      <w:tr w14:paraId="64AD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61212FB9">
            <w:pPr>
              <w:spacing w:line="340" w:lineRule="exact"/>
              <w:jc w:val="center"/>
              <w:rPr>
                <w:rFonts w:ascii="宋体" w:hAnsi="宋体" w:eastAsia="宋体" w:cs="宋体"/>
                <w:sz w:val="24"/>
                <w:szCs w:val="24"/>
              </w:rPr>
            </w:pPr>
            <w:r>
              <w:rPr>
                <w:rFonts w:hint="eastAsia" w:ascii="宋体" w:hAnsi="宋体" w:eastAsia="宋体" w:cs="宋体"/>
                <w:sz w:val="24"/>
                <w:szCs w:val="24"/>
              </w:rPr>
              <w:t>评分项目</w:t>
            </w:r>
          </w:p>
        </w:tc>
        <w:tc>
          <w:tcPr>
            <w:tcW w:w="1889" w:type="dxa"/>
            <w:vAlign w:val="center"/>
          </w:tcPr>
          <w:p w14:paraId="5130B315">
            <w:pPr>
              <w:spacing w:line="340" w:lineRule="exact"/>
              <w:jc w:val="center"/>
              <w:rPr>
                <w:rFonts w:ascii="宋体" w:hAnsi="宋体" w:eastAsia="宋体" w:cs="宋体"/>
                <w:sz w:val="24"/>
                <w:szCs w:val="24"/>
              </w:rPr>
            </w:pPr>
            <w:r>
              <w:rPr>
                <w:rFonts w:hint="eastAsia" w:ascii="宋体" w:hAnsi="宋体" w:eastAsia="宋体" w:cs="宋体"/>
                <w:sz w:val="24"/>
                <w:szCs w:val="24"/>
              </w:rPr>
              <w:t>技术评分</w:t>
            </w:r>
          </w:p>
        </w:tc>
        <w:tc>
          <w:tcPr>
            <w:tcW w:w="1701" w:type="dxa"/>
            <w:vAlign w:val="center"/>
          </w:tcPr>
          <w:p w14:paraId="54531587">
            <w:pPr>
              <w:spacing w:line="340" w:lineRule="exact"/>
              <w:jc w:val="center"/>
              <w:rPr>
                <w:rFonts w:ascii="宋体" w:hAnsi="宋体" w:eastAsia="宋体" w:cs="宋体"/>
                <w:sz w:val="24"/>
                <w:szCs w:val="24"/>
              </w:rPr>
            </w:pPr>
            <w:r>
              <w:rPr>
                <w:rFonts w:hint="eastAsia" w:ascii="宋体" w:hAnsi="宋体" w:eastAsia="宋体" w:cs="宋体"/>
                <w:sz w:val="24"/>
                <w:szCs w:val="24"/>
              </w:rPr>
              <w:t>价格评分</w:t>
            </w:r>
          </w:p>
        </w:tc>
        <w:tc>
          <w:tcPr>
            <w:tcW w:w="1609" w:type="dxa"/>
            <w:vAlign w:val="center"/>
          </w:tcPr>
          <w:p w14:paraId="126DC146">
            <w:pPr>
              <w:spacing w:line="340" w:lineRule="exact"/>
              <w:jc w:val="center"/>
              <w:rPr>
                <w:rFonts w:ascii="宋体" w:hAnsi="宋体" w:eastAsia="宋体" w:cs="宋体"/>
                <w:sz w:val="24"/>
                <w:szCs w:val="24"/>
              </w:rPr>
            </w:pPr>
            <w:r>
              <w:rPr>
                <w:rFonts w:hint="eastAsia" w:ascii="宋体" w:hAnsi="宋体" w:eastAsia="宋体" w:cs="宋体"/>
                <w:sz w:val="24"/>
                <w:szCs w:val="24"/>
              </w:rPr>
              <w:t>商务评分</w:t>
            </w:r>
          </w:p>
        </w:tc>
        <w:tc>
          <w:tcPr>
            <w:tcW w:w="1609" w:type="dxa"/>
            <w:vAlign w:val="center"/>
          </w:tcPr>
          <w:p w14:paraId="179C5D1E">
            <w:pPr>
              <w:spacing w:line="340" w:lineRule="exact"/>
              <w:jc w:val="center"/>
              <w:rPr>
                <w:rFonts w:ascii="宋体" w:hAnsi="宋体" w:eastAsia="宋体" w:cs="宋体"/>
                <w:sz w:val="24"/>
                <w:szCs w:val="24"/>
              </w:rPr>
            </w:pPr>
            <w:r>
              <w:rPr>
                <w:rFonts w:hint="eastAsia" w:ascii="宋体" w:hAnsi="宋体" w:eastAsia="宋体" w:cs="宋体"/>
                <w:sz w:val="24"/>
                <w:szCs w:val="24"/>
              </w:rPr>
              <w:t>合计</w:t>
            </w:r>
          </w:p>
        </w:tc>
      </w:tr>
      <w:tr w14:paraId="273E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5EFFF7D5">
            <w:pPr>
              <w:spacing w:line="340" w:lineRule="exact"/>
              <w:jc w:val="center"/>
              <w:rPr>
                <w:rFonts w:ascii="宋体" w:hAnsi="宋体" w:eastAsia="宋体" w:cs="宋体"/>
                <w:sz w:val="24"/>
                <w:szCs w:val="24"/>
              </w:rPr>
            </w:pPr>
            <w:r>
              <w:rPr>
                <w:rFonts w:hint="eastAsia" w:ascii="宋体" w:hAnsi="宋体" w:eastAsia="宋体" w:cs="宋体"/>
                <w:sz w:val="24"/>
                <w:szCs w:val="24"/>
              </w:rPr>
              <w:t>权重</w:t>
            </w:r>
          </w:p>
        </w:tc>
        <w:tc>
          <w:tcPr>
            <w:tcW w:w="1889" w:type="dxa"/>
            <w:vAlign w:val="center"/>
          </w:tcPr>
          <w:p w14:paraId="1CD39A4C">
            <w:pPr>
              <w:spacing w:line="340" w:lineRule="exact"/>
              <w:jc w:val="center"/>
              <w:rPr>
                <w:rFonts w:ascii="宋体" w:hAnsi="宋体" w:eastAsia="宋体" w:cs="宋体"/>
                <w:sz w:val="24"/>
                <w:szCs w:val="24"/>
              </w:rPr>
            </w:pPr>
            <w:r>
              <w:rPr>
                <w:rFonts w:hint="eastAsia" w:ascii="宋体" w:hAnsi="宋体" w:eastAsia="宋体" w:cs="宋体"/>
                <w:sz w:val="24"/>
                <w:szCs w:val="24"/>
              </w:rPr>
              <w:t>65%</w:t>
            </w:r>
          </w:p>
        </w:tc>
        <w:tc>
          <w:tcPr>
            <w:tcW w:w="1701" w:type="dxa"/>
            <w:vAlign w:val="center"/>
          </w:tcPr>
          <w:p w14:paraId="7CD30902">
            <w:pPr>
              <w:spacing w:line="340" w:lineRule="exact"/>
              <w:jc w:val="center"/>
              <w:rPr>
                <w:rFonts w:ascii="宋体" w:hAnsi="宋体" w:eastAsia="宋体" w:cs="宋体"/>
                <w:sz w:val="24"/>
                <w:szCs w:val="24"/>
              </w:rPr>
            </w:pPr>
            <w:r>
              <w:rPr>
                <w:rFonts w:hint="eastAsia" w:ascii="宋体" w:hAnsi="宋体" w:eastAsia="宋体" w:cs="宋体"/>
                <w:sz w:val="24"/>
                <w:szCs w:val="24"/>
              </w:rPr>
              <w:t>10%</w:t>
            </w:r>
          </w:p>
        </w:tc>
        <w:tc>
          <w:tcPr>
            <w:tcW w:w="1609" w:type="dxa"/>
            <w:vAlign w:val="center"/>
          </w:tcPr>
          <w:p w14:paraId="470D82CB">
            <w:pPr>
              <w:spacing w:line="340" w:lineRule="exact"/>
              <w:jc w:val="center"/>
              <w:rPr>
                <w:rFonts w:ascii="宋体" w:hAnsi="宋体" w:eastAsia="宋体" w:cs="宋体"/>
                <w:sz w:val="24"/>
                <w:szCs w:val="24"/>
              </w:rPr>
            </w:pPr>
            <w:r>
              <w:rPr>
                <w:rFonts w:hint="eastAsia" w:ascii="宋体" w:hAnsi="宋体" w:eastAsia="宋体" w:cs="宋体"/>
                <w:sz w:val="24"/>
                <w:szCs w:val="24"/>
              </w:rPr>
              <w:t>25%</w:t>
            </w:r>
          </w:p>
        </w:tc>
        <w:tc>
          <w:tcPr>
            <w:tcW w:w="1609" w:type="dxa"/>
            <w:vAlign w:val="center"/>
          </w:tcPr>
          <w:p w14:paraId="6C5F8354">
            <w:pPr>
              <w:spacing w:line="340" w:lineRule="exact"/>
              <w:jc w:val="center"/>
              <w:rPr>
                <w:rFonts w:ascii="宋体" w:hAnsi="宋体" w:eastAsia="宋体" w:cs="宋体"/>
                <w:sz w:val="24"/>
                <w:szCs w:val="24"/>
              </w:rPr>
            </w:pPr>
            <w:r>
              <w:rPr>
                <w:rFonts w:hint="eastAsia" w:ascii="宋体" w:hAnsi="宋体" w:eastAsia="宋体" w:cs="宋体"/>
                <w:sz w:val="24"/>
                <w:szCs w:val="24"/>
              </w:rPr>
              <w:t>100%</w:t>
            </w:r>
          </w:p>
        </w:tc>
      </w:tr>
      <w:tr w14:paraId="3034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16AC262F">
            <w:pPr>
              <w:spacing w:line="340" w:lineRule="exact"/>
              <w:jc w:val="center"/>
              <w:rPr>
                <w:rFonts w:ascii="宋体" w:hAnsi="宋体" w:eastAsia="宋体" w:cs="宋体"/>
                <w:sz w:val="24"/>
                <w:szCs w:val="24"/>
              </w:rPr>
            </w:pPr>
            <w:r>
              <w:rPr>
                <w:rFonts w:hint="eastAsia" w:ascii="宋体" w:hAnsi="宋体" w:eastAsia="宋体" w:cs="宋体"/>
                <w:sz w:val="24"/>
                <w:szCs w:val="24"/>
              </w:rPr>
              <w:t>分值</w:t>
            </w:r>
          </w:p>
        </w:tc>
        <w:tc>
          <w:tcPr>
            <w:tcW w:w="1889" w:type="dxa"/>
            <w:vAlign w:val="center"/>
          </w:tcPr>
          <w:p w14:paraId="654193AB">
            <w:pPr>
              <w:spacing w:line="340" w:lineRule="exact"/>
              <w:jc w:val="center"/>
              <w:rPr>
                <w:rFonts w:ascii="宋体" w:hAnsi="宋体" w:eastAsia="宋体" w:cs="宋体"/>
                <w:sz w:val="24"/>
                <w:szCs w:val="24"/>
              </w:rPr>
            </w:pPr>
            <w:r>
              <w:rPr>
                <w:rFonts w:hint="eastAsia" w:ascii="宋体" w:hAnsi="宋体" w:eastAsia="宋体" w:cs="宋体"/>
                <w:sz w:val="24"/>
                <w:szCs w:val="24"/>
              </w:rPr>
              <w:t>65分</w:t>
            </w:r>
          </w:p>
        </w:tc>
        <w:tc>
          <w:tcPr>
            <w:tcW w:w="1701" w:type="dxa"/>
            <w:vAlign w:val="center"/>
          </w:tcPr>
          <w:p w14:paraId="1FCAE29C">
            <w:pPr>
              <w:spacing w:line="340" w:lineRule="exact"/>
              <w:jc w:val="center"/>
              <w:rPr>
                <w:rFonts w:ascii="宋体" w:hAnsi="宋体" w:eastAsia="宋体" w:cs="宋体"/>
                <w:sz w:val="24"/>
                <w:szCs w:val="24"/>
              </w:rPr>
            </w:pPr>
            <w:r>
              <w:rPr>
                <w:rFonts w:hint="eastAsia" w:ascii="宋体" w:hAnsi="宋体" w:eastAsia="宋体" w:cs="宋体"/>
                <w:sz w:val="24"/>
                <w:szCs w:val="24"/>
              </w:rPr>
              <w:t>10分</w:t>
            </w:r>
          </w:p>
        </w:tc>
        <w:tc>
          <w:tcPr>
            <w:tcW w:w="1609" w:type="dxa"/>
            <w:vAlign w:val="center"/>
          </w:tcPr>
          <w:p w14:paraId="45644C32">
            <w:pPr>
              <w:spacing w:line="340" w:lineRule="exact"/>
              <w:jc w:val="center"/>
              <w:rPr>
                <w:rFonts w:ascii="宋体" w:hAnsi="宋体" w:eastAsia="宋体" w:cs="宋体"/>
                <w:sz w:val="24"/>
                <w:szCs w:val="24"/>
              </w:rPr>
            </w:pPr>
            <w:r>
              <w:rPr>
                <w:rFonts w:hint="eastAsia" w:ascii="宋体" w:hAnsi="宋体" w:eastAsia="宋体" w:cs="宋体"/>
                <w:sz w:val="24"/>
                <w:szCs w:val="24"/>
              </w:rPr>
              <w:t>25分</w:t>
            </w:r>
          </w:p>
        </w:tc>
        <w:tc>
          <w:tcPr>
            <w:tcW w:w="1609" w:type="dxa"/>
            <w:vAlign w:val="center"/>
          </w:tcPr>
          <w:p w14:paraId="33CBE59E">
            <w:pPr>
              <w:spacing w:line="340" w:lineRule="exact"/>
              <w:jc w:val="center"/>
              <w:rPr>
                <w:rFonts w:ascii="宋体" w:hAnsi="宋体" w:eastAsia="宋体" w:cs="宋体"/>
                <w:sz w:val="24"/>
                <w:szCs w:val="24"/>
              </w:rPr>
            </w:pPr>
            <w:r>
              <w:rPr>
                <w:rFonts w:hint="eastAsia" w:ascii="宋体" w:hAnsi="宋体" w:eastAsia="宋体" w:cs="宋体"/>
                <w:sz w:val="24"/>
                <w:szCs w:val="24"/>
              </w:rPr>
              <w:t>100分</w:t>
            </w:r>
          </w:p>
        </w:tc>
      </w:tr>
    </w:tbl>
    <w:p w14:paraId="710B73A6">
      <w:pPr>
        <w:widowControl/>
        <w:tabs>
          <w:tab w:val="left" w:pos="567"/>
        </w:tabs>
        <w:spacing w:before="156" w:beforeLines="50" w:after="156" w:afterLines="50" w:line="360" w:lineRule="auto"/>
        <w:rPr>
          <w:rFonts w:ascii="宋体" w:hAnsi="宋体" w:eastAsia="宋体" w:cs="宋体"/>
          <w:b/>
          <w:sz w:val="24"/>
          <w:szCs w:val="24"/>
          <w:lang w:eastAsia="zh-CN"/>
        </w:rPr>
      </w:pPr>
    </w:p>
    <w:tbl>
      <w:tblPr>
        <w:tblStyle w:val="14"/>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61"/>
        <w:gridCol w:w="1770"/>
        <w:gridCol w:w="5433"/>
      </w:tblGrid>
      <w:tr w14:paraId="31F3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5F60A0B0">
            <w:pPr>
              <w:jc w:val="center"/>
              <w:rPr>
                <w:rFonts w:ascii="宋体" w:hAnsi="宋体" w:eastAsia="宋体" w:cs="等线"/>
                <w:sz w:val="24"/>
                <w:szCs w:val="24"/>
              </w:rPr>
            </w:pPr>
            <w:r>
              <w:rPr>
                <w:rFonts w:hint="eastAsia" w:ascii="宋体" w:hAnsi="宋体" w:eastAsia="宋体" w:cs="等线"/>
                <w:sz w:val="24"/>
                <w:szCs w:val="24"/>
              </w:rPr>
              <w:t>评比因素</w:t>
            </w:r>
          </w:p>
        </w:tc>
        <w:tc>
          <w:tcPr>
            <w:tcW w:w="961" w:type="dxa"/>
            <w:vAlign w:val="center"/>
          </w:tcPr>
          <w:p w14:paraId="190163AB">
            <w:pPr>
              <w:jc w:val="center"/>
              <w:rPr>
                <w:rFonts w:ascii="宋体" w:hAnsi="宋体" w:eastAsia="宋体" w:cs="等线"/>
                <w:sz w:val="24"/>
                <w:szCs w:val="24"/>
              </w:rPr>
            </w:pPr>
            <w:r>
              <w:rPr>
                <w:rFonts w:hint="eastAsia" w:ascii="宋体" w:hAnsi="宋体" w:eastAsia="宋体" w:cs="等线"/>
                <w:sz w:val="24"/>
                <w:szCs w:val="24"/>
              </w:rPr>
              <w:t>分值</w:t>
            </w:r>
          </w:p>
        </w:tc>
        <w:tc>
          <w:tcPr>
            <w:tcW w:w="7203" w:type="dxa"/>
            <w:gridSpan w:val="2"/>
            <w:vAlign w:val="center"/>
          </w:tcPr>
          <w:p w14:paraId="655967E4">
            <w:pPr>
              <w:jc w:val="center"/>
              <w:rPr>
                <w:rFonts w:ascii="宋体" w:hAnsi="宋体" w:eastAsia="宋体" w:cs="等线"/>
                <w:sz w:val="24"/>
                <w:szCs w:val="24"/>
              </w:rPr>
            </w:pPr>
            <w:r>
              <w:rPr>
                <w:rFonts w:hint="eastAsia" w:ascii="宋体" w:hAnsi="宋体" w:eastAsia="宋体" w:cs="等线"/>
                <w:sz w:val="24"/>
                <w:szCs w:val="24"/>
              </w:rPr>
              <w:t>评分细则</w:t>
            </w:r>
          </w:p>
        </w:tc>
      </w:tr>
      <w:tr w14:paraId="64FC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67B5CF40">
            <w:pPr>
              <w:jc w:val="center"/>
              <w:rPr>
                <w:rFonts w:ascii="宋体" w:hAnsi="宋体" w:eastAsia="宋体" w:cs="等线"/>
                <w:sz w:val="24"/>
                <w:szCs w:val="24"/>
              </w:rPr>
            </w:pPr>
            <w:r>
              <w:rPr>
                <w:rFonts w:hint="eastAsia" w:ascii="宋体" w:hAnsi="宋体" w:eastAsia="宋体" w:cs="等线"/>
                <w:sz w:val="24"/>
                <w:szCs w:val="24"/>
                <w:lang w:eastAsia="zh-CN"/>
              </w:rPr>
              <w:t>A.</w:t>
            </w:r>
            <w:r>
              <w:rPr>
                <w:rFonts w:hint="eastAsia" w:ascii="宋体" w:hAnsi="宋体" w:eastAsia="宋体" w:cs="等线"/>
                <w:sz w:val="24"/>
                <w:szCs w:val="24"/>
              </w:rPr>
              <w:t>价格部分</w:t>
            </w:r>
          </w:p>
        </w:tc>
        <w:tc>
          <w:tcPr>
            <w:tcW w:w="961" w:type="dxa"/>
            <w:vAlign w:val="center"/>
          </w:tcPr>
          <w:p w14:paraId="44DCB7DF">
            <w:pPr>
              <w:jc w:val="center"/>
              <w:rPr>
                <w:rFonts w:ascii="宋体" w:hAnsi="宋体" w:eastAsia="宋体" w:cs="等线"/>
                <w:sz w:val="24"/>
                <w:szCs w:val="24"/>
              </w:rPr>
            </w:pPr>
            <w:r>
              <w:rPr>
                <w:rFonts w:hint="eastAsia" w:ascii="宋体" w:hAnsi="宋体" w:eastAsia="宋体" w:cs="等线"/>
                <w:sz w:val="24"/>
                <w:szCs w:val="24"/>
              </w:rPr>
              <w:t>10分</w:t>
            </w:r>
          </w:p>
        </w:tc>
        <w:tc>
          <w:tcPr>
            <w:tcW w:w="7203" w:type="dxa"/>
            <w:gridSpan w:val="2"/>
            <w:vAlign w:val="center"/>
          </w:tcPr>
          <w:p w14:paraId="6286B5E2">
            <w:pPr>
              <w:rPr>
                <w:rFonts w:ascii="宋体" w:hAnsi="宋体" w:eastAsia="宋体" w:cs="等线"/>
                <w:sz w:val="24"/>
                <w:szCs w:val="24"/>
                <w:lang w:eastAsia="zh-CN"/>
              </w:rPr>
            </w:pPr>
            <w:r>
              <w:rPr>
                <w:rFonts w:hint="eastAsia" w:ascii="宋体" w:hAnsi="宋体" w:eastAsia="宋体" w:cs="等线"/>
                <w:sz w:val="24"/>
                <w:szCs w:val="24"/>
                <w:lang w:eastAsia="zh-CN"/>
              </w:rPr>
              <w:t>投标报价得分=（评标基准价÷评标价格）×价格分值</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注：1．“评标基准价”是指有效评标价格当中的最低价格。</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2．若投标人为小型或微型企业，且所投产品的制造商为小型或微型企业的，评审时，对小型和微型企业产品的价格给予6﹪的扣除，用扣除后的价格参与评审。</w:t>
            </w:r>
          </w:p>
        </w:tc>
      </w:tr>
      <w:tr w14:paraId="3957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14:paraId="48561D94">
            <w:pPr>
              <w:jc w:val="center"/>
              <w:rPr>
                <w:rFonts w:ascii="宋体" w:hAnsi="宋体" w:eastAsia="宋体" w:cs="等线"/>
                <w:sz w:val="24"/>
                <w:szCs w:val="24"/>
              </w:rPr>
            </w:pPr>
            <w:r>
              <w:rPr>
                <w:rFonts w:hint="eastAsia" w:ascii="宋体" w:hAnsi="宋体" w:eastAsia="宋体" w:cs="等线"/>
                <w:sz w:val="24"/>
                <w:szCs w:val="24"/>
                <w:lang w:eastAsia="zh-CN"/>
              </w:rPr>
              <w:t>B.</w:t>
            </w:r>
            <w:r>
              <w:rPr>
                <w:rFonts w:hint="eastAsia" w:ascii="宋体" w:hAnsi="宋体" w:eastAsia="宋体" w:cs="等线"/>
                <w:sz w:val="24"/>
                <w:szCs w:val="24"/>
              </w:rPr>
              <w:t>技术</w:t>
            </w:r>
            <w:r>
              <w:rPr>
                <w:rFonts w:hint="eastAsia" w:ascii="宋体" w:hAnsi="宋体" w:eastAsia="宋体" w:cs="等线"/>
                <w:sz w:val="24"/>
                <w:szCs w:val="24"/>
              </w:rPr>
              <w:br w:type="textWrapping"/>
            </w:r>
            <w:r>
              <w:rPr>
                <w:rFonts w:hint="eastAsia" w:ascii="宋体" w:hAnsi="宋体" w:eastAsia="宋体" w:cs="等线"/>
                <w:sz w:val="24"/>
                <w:szCs w:val="24"/>
              </w:rPr>
              <w:t>部分</w:t>
            </w:r>
          </w:p>
        </w:tc>
        <w:tc>
          <w:tcPr>
            <w:tcW w:w="961" w:type="dxa"/>
            <w:vAlign w:val="center"/>
          </w:tcPr>
          <w:p w14:paraId="2AB99FE4">
            <w:pPr>
              <w:jc w:val="center"/>
              <w:rPr>
                <w:rFonts w:ascii="宋体" w:hAnsi="宋体" w:eastAsia="宋体" w:cs="等线"/>
                <w:sz w:val="24"/>
                <w:szCs w:val="24"/>
              </w:rPr>
            </w:pPr>
            <w:r>
              <w:rPr>
                <w:rFonts w:hint="eastAsia" w:ascii="宋体" w:hAnsi="宋体" w:eastAsia="宋体" w:cs="等线"/>
                <w:sz w:val="24"/>
                <w:szCs w:val="24"/>
              </w:rPr>
              <w:t>30分</w:t>
            </w:r>
          </w:p>
        </w:tc>
        <w:tc>
          <w:tcPr>
            <w:tcW w:w="1770" w:type="dxa"/>
            <w:vAlign w:val="center"/>
          </w:tcPr>
          <w:p w14:paraId="2E37C199">
            <w:pPr>
              <w:jc w:val="center"/>
              <w:rPr>
                <w:rFonts w:ascii="宋体" w:hAnsi="宋体" w:eastAsia="宋体" w:cs="等线"/>
                <w:sz w:val="24"/>
                <w:szCs w:val="24"/>
              </w:rPr>
            </w:pPr>
            <w:r>
              <w:rPr>
                <w:rFonts w:hint="eastAsia" w:ascii="宋体" w:hAnsi="宋体" w:eastAsia="宋体" w:cs="等线"/>
                <w:sz w:val="24"/>
                <w:szCs w:val="24"/>
              </w:rPr>
              <w:t>参数响应</w:t>
            </w:r>
          </w:p>
        </w:tc>
        <w:tc>
          <w:tcPr>
            <w:tcW w:w="5433" w:type="dxa"/>
            <w:vAlign w:val="center"/>
          </w:tcPr>
          <w:p w14:paraId="2C0AE745">
            <w:pPr>
              <w:rPr>
                <w:rFonts w:ascii="宋体" w:hAnsi="宋体" w:eastAsia="宋体" w:cs="等线"/>
                <w:sz w:val="24"/>
                <w:szCs w:val="24"/>
                <w:lang w:eastAsia="zh-CN"/>
              </w:rPr>
            </w:pPr>
            <w:r>
              <w:rPr>
                <w:rFonts w:hint="eastAsia" w:ascii="宋体" w:hAnsi="宋体" w:eastAsia="宋体" w:cs="等线"/>
                <w:sz w:val="24"/>
                <w:szCs w:val="24"/>
                <w:lang w:eastAsia="zh-CN"/>
              </w:rPr>
              <w:t>根据招标文件“采购项目需求”中参数要求响应情况进行评分：完全响应招标文件要求得30分。每负偏离一项标示“</w:t>
            </w:r>
            <w:r>
              <w:rPr>
                <w:rFonts w:hint="eastAsia" w:asciiTheme="minorEastAsia" w:hAnsiTheme="minorEastAsia" w:eastAsiaTheme="minorEastAsia" w:cstheme="minorEastAsia"/>
              </w:rPr>
              <w:sym w:font="Wingdings" w:char="F074"/>
            </w:r>
            <w:r>
              <w:rPr>
                <w:rFonts w:hint="eastAsia" w:ascii="宋体" w:hAnsi="宋体" w:eastAsia="宋体" w:cs="等线"/>
                <w:sz w:val="24"/>
                <w:szCs w:val="24"/>
                <w:lang w:eastAsia="zh-CN"/>
              </w:rPr>
              <w:t>”符号条款扣2分；每负偏离一项非标示“</w:t>
            </w:r>
            <w:r>
              <w:rPr>
                <w:rFonts w:hint="eastAsia" w:asciiTheme="minorEastAsia" w:hAnsiTheme="minorEastAsia" w:eastAsiaTheme="minorEastAsia" w:cstheme="minorEastAsia"/>
              </w:rPr>
              <w:sym w:font="Wingdings" w:char="F074"/>
            </w:r>
            <w:r>
              <w:rPr>
                <w:rFonts w:hint="eastAsia" w:ascii="宋体" w:hAnsi="宋体" w:eastAsia="宋体" w:cs="等线"/>
                <w:sz w:val="24"/>
                <w:szCs w:val="24"/>
                <w:lang w:eastAsia="zh-CN"/>
              </w:rPr>
              <w:t>”符号条款扣1分。最高扣至本项得分为0。</w:t>
            </w:r>
          </w:p>
        </w:tc>
      </w:tr>
      <w:tr w14:paraId="69AB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5C0D5984">
            <w:pPr>
              <w:jc w:val="center"/>
              <w:rPr>
                <w:rFonts w:ascii="宋体" w:hAnsi="宋体" w:eastAsia="宋体" w:cs="等线"/>
                <w:sz w:val="24"/>
                <w:szCs w:val="24"/>
                <w:lang w:eastAsia="zh-CN"/>
              </w:rPr>
            </w:pPr>
          </w:p>
        </w:tc>
        <w:tc>
          <w:tcPr>
            <w:tcW w:w="961" w:type="dxa"/>
            <w:vAlign w:val="center"/>
          </w:tcPr>
          <w:p w14:paraId="072FF96B">
            <w:pPr>
              <w:jc w:val="center"/>
              <w:rPr>
                <w:rFonts w:ascii="宋体" w:hAnsi="宋体" w:eastAsia="宋体" w:cs="等线"/>
                <w:sz w:val="24"/>
                <w:szCs w:val="24"/>
              </w:rPr>
            </w:pPr>
            <w:r>
              <w:rPr>
                <w:rFonts w:hint="eastAsia" w:ascii="宋体" w:hAnsi="宋体" w:eastAsia="宋体" w:cs="等线"/>
                <w:sz w:val="24"/>
                <w:szCs w:val="24"/>
              </w:rPr>
              <w:t>20分</w:t>
            </w:r>
          </w:p>
        </w:tc>
        <w:tc>
          <w:tcPr>
            <w:tcW w:w="1770" w:type="dxa"/>
            <w:vAlign w:val="center"/>
          </w:tcPr>
          <w:p w14:paraId="568036E4">
            <w:pPr>
              <w:jc w:val="center"/>
              <w:rPr>
                <w:rFonts w:ascii="宋体" w:hAnsi="宋体" w:eastAsia="宋体" w:cs="等线"/>
                <w:sz w:val="24"/>
                <w:szCs w:val="24"/>
              </w:rPr>
            </w:pPr>
            <w:r>
              <w:rPr>
                <w:rFonts w:hint="eastAsia" w:ascii="宋体" w:hAnsi="宋体" w:eastAsia="宋体" w:cs="等线"/>
                <w:sz w:val="24"/>
                <w:szCs w:val="24"/>
              </w:rPr>
              <w:t>演示部分</w:t>
            </w:r>
          </w:p>
        </w:tc>
        <w:tc>
          <w:tcPr>
            <w:tcW w:w="5433" w:type="dxa"/>
            <w:vAlign w:val="center"/>
          </w:tcPr>
          <w:p w14:paraId="0FC6AB70">
            <w:pPr>
              <w:spacing w:line="340" w:lineRule="exact"/>
              <w:rPr>
                <w:rFonts w:ascii="宋体" w:hAnsi="宋体" w:eastAsia="宋体" w:cs="等线"/>
                <w:sz w:val="24"/>
                <w:szCs w:val="24"/>
              </w:rPr>
            </w:pPr>
            <w:r>
              <w:rPr>
                <w:rFonts w:hint="eastAsia" w:ascii="宋体" w:hAnsi="宋体" w:eastAsia="宋体" w:cs="等线"/>
                <w:sz w:val="24"/>
                <w:szCs w:val="24"/>
                <w:lang w:eastAsia="zh-CN"/>
              </w:rPr>
              <w:t>综合比较各投标人提供“专业人才培养方案研制管理类云平台应用”的以下平台功能演示情况：</w:t>
            </w:r>
            <w:r>
              <w:rPr>
                <w:rFonts w:hint="eastAsia" w:ascii="宋体" w:hAnsi="宋体" w:eastAsia="宋体" w:cs="等线"/>
                <w:sz w:val="24"/>
                <w:szCs w:val="24"/>
                <w:lang w:eastAsia="zh-CN"/>
              </w:rPr>
              <w:br w:type="textWrapping"/>
            </w:r>
            <w:r>
              <w:rPr>
                <w:rFonts w:hint="eastAsia" w:ascii="宋体" w:hAnsi="宋体" w:eastAsia="宋体" w:cs="等线"/>
                <w:color w:val="000000"/>
                <w:sz w:val="24"/>
                <w:szCs w:val="24"/>
                <w:lang w:eastAsia="zh-CN"/>
              </w:rPr>
              <w:t>1、展示行业人才大数据分析可视化系统：能</w:t>
            </w:r>
            <w:r>
              <w:rPr>
                <w:rFonts w:hint="eastAsia" w:ascii="宋体" w:hAnsi="宋体" w:eastAsia="宋体" w:cs="等线"/>
                <w:sz w:val="24"/>
                <w:szCs w:val="24"/>
                <w:lang w:eastAsia="zh-CN"/>
              </w:rPr>
              <w:t>展示行业人才需求排行TOP30的数据、岗位人才需求排行TOP30的数据、专业热度排行TOP30的数据；并支持</w:t>
            </w:r>
            <w:r>
              <w:rPr>
                <w:rFonts w:hint="eastAsia" w:ascii="宋体" w:hAnsi="宋体" w:eastAsia="宋体" w:cs="等线"/>
                <w:color w:val="000000"/>
                <w:sz w:val="24"/>
                <w:szCs w:val="24"/>
                <w:lang w:eastAsia="zh-CN"/>
              </w:rPr>
              <w:t>对专业和岗位进行搜索从而查看更详细的专业、岗位数据分析。搜索方式支持：关键词搜索、专业目录检索、岗位目录检索等，专业目录需包含本科、高职、中职、技工等不同学历层次相关专业，岗位目录分类层次不低于3层，最大的岗位大类不低于10个类型。</w:t>
            </w:r>
            <w:r>
              <w:rPr>
                <w:rFonts w:hint="eastAsia" w:ascii="宋体" w:hAnsi="宋体" w:eastAsia="宋体" w:cs="等线"/>
                <w:color w:val="000000"/>
                <w:sz w:val="24"/>
                <w:szCs w:val="24"/>
              </w:rPr>
              <w:t>得4分；</w:t>
            </w:r>
          </w:p>
          <w:p w14:paraId="53AB9CA9">
            <w:pPr>
              <w:numPr>
                <w:ilvl w:val="0"/>
                <w:numId w:val="1"/>
              </w:numPr>
              <w:autoSpaceDE/>
              <w:autoSpaceDN/>
              <w:spacing w:line="340" w:lineRule="exact"/>
              <w:jc w:val="both"/>
              <w:rPr>
                <w:rFonts w:ascii="宋体" w:hAnsi="宋体" w:eastAsia="宋体" w:cs="等线"/>
                <w:color w:val="000000"/>
                <w:sz w:val="24"/>
                <w:szCs w:val="24"/>
              </w:rPr>
            </w:pPr>
            <w:r>
              <w:rPr>
                <w:rFonts w:hint="eastAsia" w:ascii="宋体" w:hAnsi="宋体" w:eastAsia="宋体" w:cs="等线"/>
                <w:sz w:val="24"/>
                <w:szCs w:val="24"/>
                <w:lang w:eastAsia="zh-CN"/>
              </w:rPr>
              <w:t>展示专业大数据分析可视化系统——专业关联岗位分析：能展示与专业关联度排名前8的岗位信息。提供的岗位信息包括：岗位名称、岗位描述、当前专业与该岗位的关联度、岗位需求量、岗位要求关键词以及词云。也可进一步展示前20名关联岗位。快速了解专业与岗位对接情况，以及岗位的大致情况。其中关联度排名前8的岗位需求量能根据地域维度（省份、经济区、城市等）和行业维度筛选而实时更新。</w:t>
            </w:r>
            <w:r>
              <w:rPr>
                <w:rFonts w:hint="eastAsia" w:ascii="宋体" w:hAnsi="宋体" w:eastAsia="宋体" w:cs="等线"/>
                <w:sz w:val="24"/>
                <w:szCs w:val="24"/>
              </w:rPr>
              <w:t>满足以上得4分；</w:t>
            </w:r>
          </w:p>
          <w:p w14:paraId="79A5E957">
            <w:pPr>
              <w:numPr>
                <w:ilvl w:val="0"/>
                <w:numId w:val="1"/>
              </w:numPr>
              <w:autoSpaceDE/>
              <w:autoSpaceDN/>
              <w:spacing w:line="340" w:lineRule="exact"/>
              <w:jc w:val="both"/>
              <w:rPr>
                <w:rFonts w:ascii="宋体" w:hAnsi="宋体" w:eastAsia="宋体" w:cs="等线"/>
                <w:sz w:val="24"/>
                <w:szCs w:val="24"/>
              </w:rPr>
            </w:pPr>
            <w:r>
              <w:rPr>
                <w:rFonts w:hint="eastAsia" w:ascii="宋体" w:hAnsi="宋体" w:eastAsia="宋体" w:cs="等线"/>
                <w:sz w:val="24"/>
                <w:szCs w:val="24"/>
                <w:lang w:eastAsia="zh-CN"/>
              </w:rPr>
              <w:t>展示岗位大数据分析系统：可查看岗位关联企业数据、全国岗位需求总量及各城市需求分布、薪资水平统计、岗位要求词云、工作经验要求、学历要求、招聘企业规模、企业性质分布统计等。支持通过自定义组合各种不同地域、行业数据源、学历要求、薪资水平、工作经验要求、企业规模、企业性质多维度进行关联实时分析，关联分析结果通过可视化界面展现，并可动态添加删除关联维度选择。</w:t>
            </w:r>
            <w:r>
              <w:rPr>
                <w:rFonts w:hint="eastAsia" w:ascii="宋体" w:hAnsi="宋体" w:eastAsia="宋体" w:cs="等线"/>
                <w:sz w:val="24"/>
                <w:szCs w:val="24"/>
              </w:rPr>
              <w:t>满足以上得3分；</w:t>
            </w:r>
          </w:p>
          <w:p w14:paraId="6CF5A8A9">
            <w:pPr>
              <w:numPr>
                <w:ilvl w:val="0"/>
                <w:numId w:val="1"/>
              </w:numPr>
              <w:autoSpaceDE/>
              <w:autoSpaceDN/>
              <w:spacing w:line="340" w:lineRule="exact"/>
              <w:jc w:val="both"/>
              <w:rPr>
                <w:rFonts w:ascii="宋体" w:hAnsi="宋体" w:eastAsia="宋体" w:cs="等线"/>
                <w:color w:val="000000"/>
                <w:sz w:val="24"/>
                <w:szCs w:val="24"/>
              </w:rPr>
            </w:pPr>
            <w:r>
              <w:rPr>
                <w:rFonts w:hint="eastAsia" w:ascii="宋体" w:hAnsi="宋体" w:eastAsia="宋体" w:cs="等线"/>
                <w:color w:val="000000"/>
                <w:sz w:val="24"/>
                <w:szCs w:val="24"/>
                <w:lang w:eastAsia="zh-CN"/>
              </w:rPr>
              <w:t>展示岗位在线分析系统：可在线邀请企业专家协同进行分析，企业专家可通过邀请码进入分析界面，并根据引导，完成职业能力分析，提交后实时到达用户分析任务详情中。</w:t>
            </w:r>
            <w:r>
              <w:rPr>
                <w:rFonts w:hint="eastAsia" w:ascii="宋体" w:hAnsi="宋体" w:eastAsia="宋体" w:cs="等线"/>
                <w:color w:val="000000"/>
                <w:sz w:val="24"/>
                <w:szCs w:val="24"/>
              </w:rPr>
              <w:t>满足以上得3分。</w:t>
            </w:r>
          </w:p>
          <w:p w14:paraId="2754578D">
            <w:pPr>
              <w:spacing w:line="340" w:lineRule="exact"/>
              <w:rPr>
                <w:rFonts w:ascii="宋体" w:hAnsi="宋体" w:eastAsia="宋体" w:cs="等线"/>
                <w:sz w:val="24"/>
                <w:szCs w:val="24"/>
                <w:lang w:eastAsia="zh-CN"/>
              </w:rPr>
            </w:pPr>
            <w:r>
              <w:rPr>
                <w:rFonts w:hint="eastAsia" w:ascii="宋体" w:hAnsi="宋体" w:eastAsia="宋体" w:cs="等线"/>
                <w:sz w:val="24"/>
                <w:szCs w:val="24"/>
                <w:lang w:eastAsia="zh-CN"/>
              </w:rPr>
              <w:t>5.展示</w:t>
            </w:r>
            <w:r>
              <w:rPr>
                <w:rFonts w:hint="eastAsia" w:ascii="宋体" w:hAnsi="宋体" w:eastAsia="宋体" w:cs="等线"/>
                <w:color w:val="000000"/>
                <w:sz w:val="24"/>
                <w:szCs w:val="24"/>
                <w:lang w:eastAsia="zh-CN"/>
              </w:rPr>
              <w:t>课程能力映射在线分析系统：可开启课程能力映射头脑风暴模式，所有参加头脑风暴会议的教育专家可通过在线协同系统登录，直接获取本次头脑风暴的课程结构表和职业能力分析表，通过在线对每门课程与职业能力进行关联映射。系统自动回收所有教育专家的映射结果，可实时查看头脑风暴进度和回收清单，回收清单支持导出。支持汇总所有数据统计，并可单独对课程或整体对所有课程设置过滤条件，实时查看过滤项目，最终形成的头脑风暴会议数据可与自己的课程与能力映射数据进行交叉对比，并最终确定各课程需教学的职业能力。满足以上得3分。</w:t>
            </w:r>
          </w:p>
          <w:p w14:paraId="69AF954F">
            <w:pPr>
              <w:spacing w:line="340" w:lineRule="exact"/>
              <w:rPr>
                <w:rFonts w:ascii="宋体" w:hAnsi="宋体" w:eastAsia="宋体" w:cs="等线"/>
                <w:sz w:val="24"/>
                <w:szCs w:val="24"/>
                <w:lang w:eastAsia="zh-CN"/>
              </w:rPr>
            </w:pPr>
            <w:r>
              <w:rPr>
                <w:rFonts w:hint="eastAsia" w:ascii="宋体" w:hAnsi="宋体" w:eastAsia="宋体" w:cs="等线"/>
                <w:sz w:val="24"/>
                <w:szCs w:val="24"/>
                <w:lang w:eastAsia="zh-CN"/>
              </w:rPr>
              <w:t>6.能</w:t>
            </w:r>
            <w:r>
              <w:rPr>
                <w:rFonts w:hint="eastAsia" w:ascii="宋体" w:hAnsi="宋体" w:eastAsia="宋体" w:cs="等线"/>
                <w:color w:val="000000"/>
                <w:sz w:val="24"/>
                <w:szCs w:val="24"/>
                <w:lang w:eastAsia="zh-CN"/>
              </w:rPr>
              <w:t>展示平台教务端：可通过教务处的角色登录系统，可查看人才培养方案研制情况，以及每个阶段具体工作的明细和审批提交上来的报告。满足以上得3分。</w:t>
            </w:r>
          </w:p>
          <w:p w14:paraId="0FFFF6C8">
            <w:pPr>
              <w:spacing w:line="340" w:lineRule="exact"/>
              <w:rPr>
                <w:rFonts w:ascii="宋体" w:hAnsi="宋体" w:eastAsia="宋体" w:cs="等线"/>
                <w:sz w:val="24"/>
                <w:szCs w:val="24"/>
                <w:lang w:eastAsia="zh-CN"/>
              </w:rPr>
            </w:pPr>
            <w:r>
              <w:rPr>
                <w:rFonts w:hint="eastAsia" w:ascii="宋体" w:hAnsi="宋体" w:eastAsia="宋体" w:cs="等线"/>
                <w:color w:val="000000"/>
                <w:sz w:val="24"/>
                <w:szCs w:val="24"/>
                <w:lang w:eastAsia="zh-CN"/>
              </w:rPr>
              <w:t>7.未演示不得分。</w:t>
            </w:r>
          </w:p>
        </w:tc>
      </w:tr>
      <w:tr w14:paraId="3404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620C87E2">
            <w:pPr>
              <w:jc w:val="center"/>
              <w:rPr>
                <w:rFonts w:ascii="宋体" w:hAnsi="宋体" w:eastAsia="宋体" w:cs="等线"/>
                <w:sz w:val="24"/>
                <w:szCs w:val="24"/>
                <w:lang w:eastAsia="zh-CN"/>
              </w:rPr>
            </w:pPr>
          </w:p>
        </w:tc>
        <w:tc>
          <w:tcPr>
            <w:tcW w:w="961" w:type="dxa"/>
            <w:vAlign w:val="center"/>
          </w:tcPr>
          <w:p w14:paraId="15C5D813">
            <w:pPr>
              <w:jc w:val="center"/>
              <w:rPr>
                <w:rFonts w:ascii="宋体" w:hAnsi="宋体" w:eastAsia="宋体" w:cs="等线"/>
                <w:sz w:val="24"/>
                <w:szCs w:val="24"/>
              </w:rPr>
            </w:pPr>
            <w:r>
              <w:rPr>
                <w:rFonts w:hint="eastAsia" w:ascii="宋体" w:hAnsi="宋体" w:eastAsia="宋体" w:cs="等线"/>
                <w:sz w:val="24"/>
                <w:szCs w:val="24"/>
              </w:rPr>
              <w:t>5分</w:t>
            </w:r>
          </w:p>
        </w:tc>
        <w:tc>
          <w:tcPr>
            <w:tcW w:w="1770" w:type="dxa"/>
            <w:vAlign w:val="center"/>
          </w:tcPr>
          <w:p w14:paraId="61FF04C0">
            <w:pPr>
              <w:jc w:val="center"/>
              <w:rPr>
                <w:rFonts w:ascii="宋体" w:hAnsi="宋体" w:eastAsia="宋体" w:cs="等线"/>
                <w:sz w:val="24"/>
                <w:szCs w:val="24"/>
              </w:rPr>
            </w:pPr>
            <w:r>
              <w:rPr>
                <w:rFonts w:hint="eastAsia" w:ascii="宋体" w:hAnsi="宋体" w:eastAsia="宋体" w:cs="等线"/>
                <w:sz w:val="24"/>
                <w:szCs w:val="24"/>
              </w:rPr>
              <w:t>对本项目的理解程度</w:t>
            </w:r>
          </w:p>
        </w:tc>
        <w:tc>
          <w:tcPr>
            <w:tcW w:w="5433" w:type="dxa"/>
            <w:vAlign w:val="center"/>
          </w:tcPr>
          <w:p w14:paraId="0F662E44">
            <w:pPr>
              <w:rPr>
                <w:rFonts w:ascii="宋体" w:hAnsi="宋体" w:eastAsia="宋体" w:cs="等线"/>
                <w:sz w:val="24"/>
                <w:szCs w:val="24"/>
                <w:lang w:eastAsia="zh-CN"/>
              </w:rPr>
            </w:pPr>
            <w:r>
              <w:rPr>
                <w:rFonts w:hint="eastAsia" w:ascii="宋体" w:hAnsi="宋体" w:eastAsia="宋体" w:cs="等线"/>
                <w:sz w:val="24"/>
                <w:szCs w:val="24"/>
                <w:lang w:eastAsia="zh-CN"/>
              </w:rPr>
              <w:t>各投标人对本项目需求书的理解和响应情况：</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1.对本项目的需求书全面熟悉，对项目背景、目标、内容有全面、正确地理解并完全响应采购服务内容的，得5分。</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2.对本项目需求书能基本熟悉，基本理解项目背景、目标、内容并响应采购服务内容的，得3分。</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3.对本项目需求书理解不到位、响应采购服务内容不完全的，得1分。</w:t>
            </w:r>
          </w:p>
          <w:p w14:paraId="5E09AB7C">
            <w:pPr>
              <w:rPr>
                <w:rFonts w:ascii="宋体" w:hAnsi="宋体" w:eastAsia="宋体" w:cs="等线"/>
                <w:sz w:val="24"/>
                <w:szCs w:val="24"/>
                <w:lang w:eastAsia="zh-CN"/>
              </w:rPr>
            </w:pPr>
            <w:r>
              <w:rPr>
                <w:rFonts w:hint="eastAsia" w:ascii="宋体" w:hAnsi="宋体" w:eastAsia="宋体" w:cs="宋体"/>
                <w:color w:val="000000"/>
                <w:sz w:val="24"/>
                <w:szCs w:val="24"/>
                <w:lang w:eastAsia="zh-CN" w:bidi="ar"/>
              </w:rPr>
              <w:t>4.</w:t>
            </w:r>
            <w:r>
              <w:rPr>
                <w:rFonts w:hint="eastAsia" w:ascii="宋体" w:hAnsi="宋体" w:eastAsia="宋体" w:cs="等线"/>
                <w:sz w:val="24"/>
                <w:szCs w:val="24"/>
                <w:lang w:eastAsia="zh-CN"/>
              </w:rPr>
              <w:t xml:space="preserve"> 无提供相应方案得0分。</w:t>
            </w:r>
          </w:p>
        </w:tc>
      </w:tr>
      <w:tr w14:paraId="79A7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320E1DBC">
            <w:pPr>
              <w:jc w:val="center"/>
              <w:rPr>
                <w:rFonts w:ascii="宋体" w:hAnsi="宋体" w:eastAsia="宋体" w:cs="等线"/>
                <w:sz w:val="24"/>
                <w:szCs w:val="24"/>
                <w:lang w:eastAsia="zh-CN"/>
              </w:rPr>
            </w:pPr>
          </w:p>
        </w:tc>
        <w:tc>
          <w:tcPr>
            <w:tcW w:w="961" w:type="dxa"/>
            <w:vAlign w:val="center"/>
          </w:tcPr>
          <w:p w14:paraId="62978D56">
            <w:pPr>
              <w:jc w:val="center"/>
              <w:rPr>
                <w:rFonts w:ascii="宋体" w:hAnsi="宋体" w:eastAsia="宋体" w:cs="等线"/>
                <w:sz w:val="24"/>
                <w:szCs w:val="24"/>
              </w:rPr>
            </w:pPr>
            <w:r>
              <w:rPr>
                <w:rFonts w:hint="eastAsia" w:ascii="宋体" w:hAnsi="宋体" w:eastAsia="宋体" w:cs="等线"/>
                <w:sz w:val="24"/>
                <w:szCs w:val="24"/>
              </w:rPr>
              <w:t>5分</w:t>
            </w:r>
          </w:p>
        </w:tc>
        <w:tc>
          <w:tcPr>
            <w:tcW w:w="1770" w:type="dxa"/>
            <w:vAlign w:val="center"/>
          </w:tcPr>
          <w:p w14:paraId="6B16067D">
            <w:pPr>
              <w:jc w:val="center"/>
              <w:rPr>
                <w:rFonts w:ascii="宋体" w:hAnsi="宋体" w:eastAsia="宋体" w:cs="等线"/>
                <w:sz w:val="24"/>
                <w:szCs w:val="24"/>
              </w:rPr>
            </w:pPr>
            <w:r>
              <w:rPr>
                <w:rFonts w:hint="eastAsia" w:ascii="宋体" w:hAnsi="宋体" w:eastAsia="宋体" w:cs="等线"/>
                <w:sz w:val="24"/>
                <w:szCs w:val="24"/>
              </w:rPr>
              <w:t>实施方案</w:t>
            </w:r>
          </w:p>
        </w:tc>
        <w:tc>
          <w:tcPr>
            <w:tcW w:w="5433" w:type="dxa"/>
            <w:vAlign w:val="center"/>
          </w:tcPr>
          <w:p w14:paraId="4703D8FA">
            <w:pPr>
              <w:rPr>
                <w:rFonts w:ascii="宋体" w:hAnsi="宋体" w:eastAsia="宋体" w:cs="等线"/>
                <w:sz w:val="24"/>
                <w:szCs w:val="24"/>
                <w:lang w:eastAsia="zh-CN"/>
              </w:rPr>
            </w:pPr>
            <w:r>
              <w:rPr>
                <w:rFonts w:hint="eastAsia" w:ascii="宋体" w:hAnsi="宋体" w:eastAsia="宋体" w:cs="等线"/>
                <w:sz w:val="24"/>
                <w:szCs w:val="24"/>
                <w:lang w:eastAsia="zh-CN"/>
              </w:rPr>
              <w:t>根据有效投标人项目管理（包括项目组织管理、人员管理、技术管理、进度管理等）、项目实施方案、验收方案等方面进行评审：</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（1）方案详细具体、具有针对性、可操作性强得5分；</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（3）方案一般、针对性一般、可操作性一般得3分；</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（4）方案不具有针对性、可操作较差得1分；</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（5）无提供相应方案得0分。</w:t>
            </w:r>
          </w:p>
        </w:tc>
      </w:tr>
      <w:tr w14:paraId="4FFD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3775EE4A">
            <w:pPr>
              <w:jc w:val="center"/>
              <w:rPr>
                <w:rFonts w:ascii="宋体" w:hAnsi="宋体" w:eastAsia="宋体" w:cs="等线"/>
                <w:sz w:val="24"/>
                <w:szCs w:val="24"/>
                <w:lang w:eastAsia="zh-CN"/>
              </w:rPr>
            </w:pPr>
          </w:p>
        </w:tc>
        <w:tc>
          <w:tcPr>
            <w:tcW w:w="961" w:type="dxa"/>
            <w:vAlign w:val="center"/>
          </w:tcPr>
          <w:p w14:paraId="4243508B">
            <w:pPr>
              <w:jc w:val="center"/>
              <w:rPr>
                <w:rFonts w:ascii="宋体" w:hAnsi="宋体" w:eastAsia="宋体" w:cs="等线"/>
                <w:sz w:val="24"/>
                <w:szCs w:val="24"/>
              </w:rPr>
            </w:pPr>
            <w:r>
              <w:rPr>
                <w:rFonts w:hint="eastAsia" w:ascii="宋体" w:hAnsi="宋体" w:eastAsia="宋体" w:cs="等线"/>
                <w:sz w:val="24"/>
                <w:szCs w:val="24"/>
              </w:rPr>
              <w:t>5分</w:t>
            </w:r>
          </w:p>
        </w:tc>
        <w:tc>
          <w:tcPr>
            <w:tcW w:w="1770" w:type="dxa"/>
            <w:vAlign w:val="center"/>
          </w:tcPr>
          <w:p w14:paraId="2B75BF29">
            <w:pPr>
              <w:jc w:val="center"/>
              <w:rPr>
                <w:rFonts w:ascii="宋体" w:hAnsi="宋体" w:eastAsia="宋体" w:cs="等线"/>
                <w:sz w:val="24"/>
                <w:szCs w:val="24"/>
                <w:lang w:eastAsia="zh-CN"/>
              </w:rPr>
            </w:pPr>
            <w:r>
              <w:rPr>
                <w:rFonts w:hint="eastAsia" w:ascii="宋体" w:hAnsi="宋体" w:eastAsia="宋体" w:cs="等线"/>
                <w:sz w:val="24"/>
                <w:szCs w:val="24"/>
                <w:lang w:eastAsia="zh-CN"/>
              </w:rPr>
              <w:t>售后服务和技术培训方案</w:t>
            </w:r>
          </w:p>
        </w:tc>
        <w:tc>
          <w:tcPr>
            <w:tcW w:w="5433" w:type="dxa"/>
            <w:vAlign w:val="center"/>
          </w:tcPr>
          <w:p w14:paraId="5F33597D">
            <w:pPr>
              <w:rPr>
                <w:rFonts w:ascii="宋体" w:hAnsi="宋体" w:eastAsia="宋体" w:cs="等线"/>
                <w:sz w:val="24"/>
                <w:szCs w:val="24"/>
                <w:lang w:eastAsia="zh-CN"/>
              </w:rPr>
            </w:pPr>
            <w:r>
              <w:rPr>
                <w:rFonts w:hint="eastAsia" w:ascii="宋体" w:hAnsi="宋体" w:eastAsia="宋体" w:cs="等线"/>
                <w:sz w:val="24"/>
                <w:szCs w:val="24"/>
                <w:lang w:eastAsia="zh-CN"/>
              </w:rPr>
              <w:t>根据各供应商提供的售后服务和技术培训方案进行评审：</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 xml:space="preserve">（1）技术支持方案和售后服务方案详细，可行性高，得5分； </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 xml:space="preserve">（2）技术支持方案和售后服务方案较合理，可行性较高，得3分； </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 xml:space="preserve">（3）技术支持方案和售后服务方案不够合理，得1分； </w:t>
            </w:r>
            <w:r>
              <w:rPr>
                <w:rFonts w:hint="eastAsia" w:ascii="宋体" w:hAnsi="宋体" w:eastAsia="宋体" w:cs="等线"/>
                <w:sz w:val="24"/>
                <w:szCs w:val="24"/>
                <w:lang w:eastAsia="zh-CN"/>
              </w:rPr>
              <w:br w:type="textWrapping"/>
            </w:r>
            <w:r>
              <w:rPr>
                <w:rFonts w:hint="eastAsia" w:ascii="宋体" w:hAnsi="宋体" w:eastAsia="宋体" w:cs="等线"/>
                <w:sz w:val="24"/>
                <w:szCs w:val="24"/>
                <w:lang w:eastAsia="zh-CN"/>
              </w:rPr>
              <w:t>（4）无技术支持及售后服务方案，得0分。</w:t>
            </w:r>
          </w:p>
        </w:tc>
      </w:tr>
      <w:tr w14:paraId="6AD8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14:paraId="7C67C625">
            <w:pPr>
              <w:jc w:val="center"/>
              <w:rPr>
                <w:rFonts w:ascii="宋体" w:hAnsi="宋体" w:eastAsia="宋体" w:cs="等线"/>
                <w:sz w:val="24"/>
                <w:szCs w:val="24"/>
                <w:lang w:eastAsia="zh-CN"/>
              </w:rPr>
            </w:pPr>
            <w:r>
              <w:rPr>
                <w:rFonts w:hint="eastAsia" w:ascii="宋体" w:hAnsi="宋体" w:eastAsia="宋体" w:cs="等线"/>
                <w:sz w:val="24"/>
                <w:szCs w:val="24"/>
              </w:rPr>
              <w:t>C.商务部分</w:t>
            </w:r>
          </w:p>
        </w:tc>
        <w:tc>
          <w:tcPr>
            <w:tcW w:w="961" w:type="dxa"/>
            <w:vAlign w:val="center"/>
          </w:tcPr>
          <w:p w14:paraId="342972AD">
            <w:pPr>
              <w:jc w:val="center"/>
              <w:rPr>
                <w:rFonts w:ascii="宋体" w:hAnsi="宋体" w:eastAsia="宋体" w:cs="等线"/>
                <w:sz w:val="24"/>
                <w:szCs w:val="24"/>
              </w:rPr>
            </w:pPr>
            <w:r>
              <w:rPr>
                <w:rFonts w:hint="eastAsia" w:ascii="宋体" w:hAnsi="宋体" w:cs="等线"/>
                <w:sz w:val="24"/>
                <w:szCs w:val="24"/>
              </w:rPr>
              <w:t>10</w:t>
            </w:r>
          </w:p>
        </w:tc>
        <w:tc>
          <w:tcPr>
            <w:tcW w:w="1770" w:type="dxa"/>
            <w:vAlign w:val="center"/>
          </w:tcPr>
          <w:p w14:paraId="35212CCB">
            <w:pPr>
              <w:jc w:val="center"/>
              <w:rPr>
                <w:rFonts w:ascii="宋体" w:hAnsi="宋体" w:eastAsia="宋体" w:cs="等线"/>
                <w:sz w:val="24"/>
                <w:szCs w:val="24"/>
                <w:lang w:eastAsia="zh-CN"/>
              </w:rPr>
            </w:pPr>
            <w:r>
              <w:rPr>
                <w:rFonts w:hint="eastAsia" w:ascii="宋体" w:hAnsi="宋体" w:eastAsia="宋体" w:cs="等线"/>
                <w:sz w:val="24"/>
                <w:szCs w:val="24"/>
              </w:rPr>
              <w:t>同类业绩</w:t>
            </w:r>
          </w:p>
        </w:tc>
        <w:tc>
          <w:tcPr>
            <w:tcW w:w="5433" w:type="dxa"/>
            <w:vAlign w:val="center"/>
          </w:tcPr>
          <w:p w14:paraId="7A949679">
            <w:pPr>
              <w:adjustRightInd w:val="0"/>
              <w:snapToGrid w:val="0"/>
              <w:rPr>
                <w:rFonts w:ascii="宋体" w:hAnsi="宋体" w:eastAsia="宋体" w:cs="等线"/>
                <w:sz w:val="24"/>
                <w:szCs w:val="24"/>
                <w:lang w:eastAsia="zh-CN"/>
              </w:rPr>
            </w:pPr>
            <w:r>
              <w:rPr>
                <w:rFonts w:hint="eastAsia" w:ascii="宋体" w:hAnsi="宋体" w:eastAsia="宋体" w:cs="等线"/>
                <w:sz w:val="24"/>
                <w:szCs w:val="24"/>
                <w:lang w:eastAsia="zh-CN"/>
              </w:rPr>
              <w:t>1.供应商自2020年1月1日（以合同签订时间为准）至今承担过同类项目业绩进行评分，每提供一个得2分，满分10分。</w:t>
            </w:r>
          </w:p>
          <w:p w14:paraId="54C02855">
            <w:pPr>
              <w:rPr>
                <w:rFonts w:ascii="宋体" w:hAnsi="宋体" w:eastAsia="宋体" w:cs="等线"/>
                <w:sz w:val="24"/>
                <w:szCs w:val="24"/>
                <w:lang w:eastAsia="zh-CN"/>
              </w:rPr>
            </w:pPr>
            <w:r>
              <w:rPr>
                <w:rFonts w:hint="eastAsia" w:ascii="宋体" w:hAnsi="宋体" w:eastAsia="宋体" w:cs="等线"/>
                <w:sz w:val="24"/>
                <w:szCs w:val="24"/>
                <w:lang w:eastAsia="zh-CN"/>
              </w:rPr>
              <w:t>注：须提供有效的合同复印件或中标通知书复印件并加盖公章，否则不得分。</w:t>
            </w:r>
          </w:p>
        </w:tc>
      </w:tr>
      <w:tr w14:paraId="45A7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3C861BA9">
            <w:pPr>
              <w:jc w:val="center"/>
              <w:rPr>
                <w:rFonts w:ascii="宋体" w:hAnsi="宋体" w:eastAsia="宋体" w:cs="等线"/>
                <w:sz w:val="24"/>
                <w:szCs w:val="24"/>
                <w:lang w:eastAsia="zh-CN"/>
              </w:rPr>
            </w:pPr>
          </w:p>
        </w:tc>
        <w:tc>
          <w:tcPr>
            <w:tcW w:w="961" w:type="dxa"/>
            <w:vAlign w:val="center"/>
          </w:tcPr>
          <w:p w14:paraId="7FDFE946">
            <w:pPr>
              <w:jc w:val="center"/>
              <w:rPr>
                <w:rFonts w:ascii="宋体" w:hAnsi="宋体" w:eastAsia="宋体" w:cs="等线"/>
                <w:sz w:val="24"/>
                <w:szCs w:val="24"/>
                <w:lang w:eastAsia="zh-CN"/>
              </w:rPr>
            </w:pPr>
            <w:r>
              <w:rPr>
                <w:rFonts w:hint="eastAsia" w:ascii="宋体" w:hAnsi="宋体" w:cs="等线"/>
                <w:sz w:val="24"/>
                <w:szCs w:val="24"/>
              </w:rPr>
              <w:t>5</w:t>
            </w:r>
          </w:p>
        </w:tc>
        <w:tc>
          <w:tcPr>
            <w:tcW w:w="1770" w:type="dxa"/>
            <w:vAlign w:val="center"/>
          </w:tcPr>
          <w:p w14:paraId="4C051C30">
            <w:pPr>
              <w:jc w:val="center"/>
              <w:rPr>
                <w:rFonts w:ascii="宋体" w:hAnsi="宋体" w:eastAsia="宋体" w:cs="等线"/>
                <w:sz w:val="24"/>
                <w:szCs w:val="24"/>
                <w:lang w:eastAsia="zh-CN"/>
              </w:rPr>
            </w:pPr>
            <w:r>
              <w:rPr>
                <w:rFonts w:hint="eastAsia" w:ascii="宋体" w:hAnsi="宋体" w:eastAsia="宋体" w:cs="等线"/>
                <w:sz w:val="24"/>
                <w:szCs w:val="24"/>
              </w:rPr>
              <w:t>项目经理</w:t>
            </w:r>
          </w:p>
        </w:tc>
        <w:tc>
          <w:tcPr>
            <w:tcW w:w="5433" w:type="dxa"/>
            <w:vAlign w:val="center"/>
          </w:tcPr>
          <w:p w14:paraId="6FFE54D4">
            <w:pPr>
              <w:adjustRightInd w:val="0"/>
              <w:snapToGrid w:val="0"/>
              <w:rPr>
                <w:rFonts w:ascii="宋体" w:hAnsi="宋体" w:eastAsia="宋体" w:cs="等线"/>
                <w:sz w:val="24"/>
                <w:szCs w:val="24"/>
                <w:lang w:eastAsia="zh-CN"/>
              </w:rPr>
            </w:pPr>
            <w:r>
              <w:rPr>
                <w:rFonts w:hint="eastAsia" w:ascii="宋体" w:hAnsi="宋体" w:eastAsia="宋体" w:cs="等线"/>
                <w:sz w:val="24"/>
                <w:szCs w:val="24"/>
                <w:lang w:eastAsia="zh-CN"/>
              </w:rPr>
              <w:t>项目负责人具有硕士或以上学历，且具有相关教学方面经历（提供高等学校教师资格证及课时证明）及工信部颁发的大数据资产规划师证书，提供学历证书及教学经历证明得2分，提供大数据资产规划师证书得3分，最高得5分。</w:t>
            </w:r>
          </w:p>
          <w:p w14:paraId="7B173DB8">
            <w:pPr>
              <w:rPr>
                <w:rFonts w:ascii="宋体" w:hAnsi="宋体" w:eastAsia="宋体" w:cs="等线"/>
                <w:sz w:val="24"/>
                <w:szCs w:val="24"/>
                <w:lang w:eastAsia="zh-CN"/>
              </w:rPr>
            </w:pPr>
            <w:r>
              <w:rPr>
                <w:rFonts w:hint="eastAsia" w:ascii="宋体" w:hAnsi="宋体" w:eastAsia="宋体" w:cs="等线"/>
                <w:sz w:val="24"/>
                <w:szCs w:val="24"/>
                <w:lang w:eastAsia="zh-CN"/>
              </w:rPr>
              <w:t>同时提供投标单位为其缴纳的近3个月的社保证明或单位代缴个人所得税税单，并加盖投标人公章。</w:t>
            </w:r>
            <w:r>
              <w:rPr>
                <w:rFonts w:hint="eastAsia" w:ascii="宋体" w:hAnsi="宋体" w:eastAsia="宋体" w:cs="等线"/>
                <w:sz w:val="24"/>
                <w:szCs w:val="24"/>
              </w:rPr>
              <w:t>"</w:t>
            </w:r>
          </w:p>
        </w:tc>
      </w:tr>
      <w:tr w14:paraId="2109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32DCAB77">
            <w:pPr>
              <w:jc w:val="center"/>
              <w:rPr>
                <w:rFonts w:ascii="宋体" w:hAnsi="宋体" w:eastAsia="宋体" w:cs="等线"/>
                <w:sz w:val="24"/>
                <w:szCs w:val="24"/>
                <w:lang w:eastAsia="zh-CN"/>
              </w:rPr>
            </w:pPr>
          </w:p>
        </w:tc>
        <w:tc>
          <w:tcPr>
            <w:tcW w:w="961" w:type="dxa"/>
            <w:vAlign w:val="center"/>
          </w:tcPr>
          <w:p w14:paraId="56AAB69E">
            <w:pPr>
              <w:jc w:val="center"/>
              <w:rPr>
                <w:rFonts w:ascii="宋体" w:hAnsi="宋体" w:eastAsia="宋体" w:cs="等线"/>
                <w:sz w:val="24"/>
                <w:szCs w:val="24"/>
              </w:rPr>
            </w:pPr>
            <w:r>
              <w:rPr>
                <w:rFonts w:hint="eastAsia" w:ascii="宋体" w:hAnsi="宋体" w:cs="等线"/>
                <w:sz w:val="24"/>
                <w:szCs w:val="24"/>
              </w:rPr>
              <w:t>10</w:t>
            </w:r>
          </w:p>
        </w:tc>
        <w:tc>
          <w:tcPr>
            <w:tcW w:w="1770" w:type="dxa"/>
            <w:vAlign w:val="center"/>
          </w:tcPr>
          <w:p w14:paraId="6E2CA2B0">
            <w:pPr>
              <w:jc w:val="center"/>
              <w:rPr>
                <w:rFonts w:ascii="宋体" w:hAnsi="宋体" w:eastAsia="宋体" w:cs="等线"/>
                <w:sz w:val="24"/>
                <w:szCs w:val="24"/>
                <w:lang w:eastAsia="zh-CN"/>
              </w:rPr>
            </w:pPr>
            <w:r>
              <w:rPr>
                <w:rFonts w:hint="eastAsia" w:ascii="宋体" w:hAnsi="宋体" w:eastAsia="宋体" w:cs="等线"/>
                <w:sz w:val="24"/>
                <w:szCs w:val="24"/>
              </w:rPr>
              <w:t>企业资质</w:t>
            </w:r>
          </w:p>
        </w:tc>
        <w:tc>
          <w:tcPr>
            <w:tcW w:w="5433" w:type="dxa"/>
            <w:vAlign w:val="center"/>
          </w:tcPr>
          <w:p w14:paraId="7C5F3121">
            <w:pPr>
              <w:adjustRightInd w:val="0"/>
              <w:snapToGrid w:val="0"/>
              <w:rPr>
                <w:rFonts w:ascii="宋体" w:hAnsi="宋体" w:eastAsia="宋体" w:cs="等线"/>
                <w:sz w:val="24"/>
                <w:szCs w:val="24"/>
                <w:lang w:eastAsia="zh-CN"/>
              </w:rPr>
            </w:pPr>
            <w:r>
              <w:rPr>
                <w:rFonts w:hint="eastAsia" w:ascii="宋体" w:hAnsi="宋体" w:eastAsia="宋体" w:cs="等线"/>
                <w:sz w:val="24"/>
                <w:szCs w:val="24"/>
                <w:lang w:eastAsia="zh-CN"/>
              </w:rPr>
              <w:t xml:space="preserve">1.投标人具备质量管理体系认证证书，得1分； </w:t>
            </w:r>
          </w:p>
          <w:p w14:paraId="6AECA689">
            <w:pPr>
              <w:adjustRightInd w:val="0"/>
              <w:snapToGrid w:val="0"/>
              <w:rPr>
                <w:rFonts w:ascii="宋体" w:hAnsi="宋体" w:eastAsia="宋体" w:cs="等线"/>
                <w:sz w:val="24"/>
                <w:szCs w:val="24"/>
                <w:lang w:eastAsia="zh-CN"/>
              </w:rPr>
            </w:pPr>
            <w:r>
              <w:rPr>
                <w:rFonts w:hint="eastAsia" w:ascii="宋体" w:hAnsi="宋体" w:eastAsia="宋体" w:cs="等线"/>
                <w:sz w:val="24"/>
                <w:szCs w:val="24"/>
                <w:lang w:eastAsia="zh-CN"/>
              </w:rPr>
              <w:t xml:space="preserve">2.投标人具备信息技术服务管理体系认证证书，得1分； </w:t>
            </w:r>
          </w:p>
          <w:p w14:paraId="13BDD72C">
            <w:pPr>
              <w:adjustRightInd w:val="0"/>
              <w:snapToGrid w:val="0"/>
              <w:rPr>
                <w:rFonts w:ascii="宋体" w:hAnsi="宋体" w:eastAsia="宋体" w:cs="等线"/>
                <w:sz w:val="24"/>
                <w:szCs w:val="24"/>
                <w:lang w:eastAsia="zh-CN"/>
              </w:rPr>
            </w:pPr>
            <w:r>
              <w:rPr>
                <w:rFonts w:hint="eastAsia" w:ascii="宋体" w:hAnsi="宋体" w:eastAsia="宋体" w:cs="等线"/>
                <w:sz w:val="24"/>
                <w:szCs w:val="24"/>
                <w:lang w:eastAsia="zh-CN"/>
              </w:rPr>
              <w:t>3.投标人具备职业健康安全管理体系认证证书，得1分；</w:t>
            </w:r>
          </w:p>
          <w:p w14:paraId="74F48122">
            <w:pPr>
              <w:adjustRightInd w:val="0"/>
              <w:snapToGrid w:val="0"/>
              <w:rPr>
                <w:rFonts w:ascii="宋体" w:hAnsi="宋体" w:eastAsia="宋体" w:cs="等线"/>
                <w:sz w:val="24"/>
                <w:szCs w:val="24"/>
                <w:lang w:eastAsia="zh-CN"/>
              </w:rPr>
            </w:pPr>
            <w:r>
              <w:rPr>
                <w:rFonts w:hint="eastAsia" w:ascii="宋体" w:hAnsi="宋体" w:eastAsia="宋体" w:cs="等线"/>
                <w:sz w:val="24"/>
                <w:szCs w:val="24"/>
                <w:lang w:eastAsia="zh-CN"/>
              </w:rPr>
              <w:t>4.投标人具备工信部或通信管理局颁发的中华人民共和国增值电信业务经营许可证（业务种类包括：互联网数据中心业务、互联网接入服务业务），得3分；</w:t>
            </w:r>
          </w:p>
          <w:p w14:paraId="630AE07F">
            <w:pPr>
              <w:adjustRightInd w:val="0"/>
              <w:snapToGrid w:val="0"/>
              <w:rPr>
                <w:rFonts w:ascii="宋体" w:hAnsi="宋体" w:eastAsia="宋体" w:cs="等线"/>
                <w:sz w:val="24"/>
                <w:szCs w:val="24"/>
                <w:lang w:eastAsia="zh-CN"/>
              </w:rPr>
            </w:pPr>
            <w:r>
              <w:rPr>
                <w:rFonts w:hint="eastAsia" w:ascii="宋体" w:hAnsi="宋体" w:eastAsia="宋体" w:cs="等线"/>
                <w:sz w:val="24"/>
                <w:szCs w:val="24"/>
                <w:lang w:eastAsia="zh-CN"/>
              </w:rPr>
              <w:t>5.投标人具有人才培养方案研制类管理平台或调研平台类相关软件著作权的，每提供一项得1分，最高得2分；</w:t>
            </w:r>
          </w:p>
          <w:p w14:paraId="33535EC0">
            <w:pPr>
              <w:adjustRightInd w:val="0"/>
              <w:snapToGrid w:val="0"/>
              <w:rPr>
                <w:rFonts w:ascii="宋体" w:hAnsi="宋体" w:eastAsia="宋体" w:cs="等线"/>
                <w:sz w:val="24"/>
                <w:szCs w:val="24"/>
                <w:lang w:eastAsia="zh-CN"/>
              </w:rPr>
            </w:pPr>
            <w:r>
              <w:rPr>
                <w:rFonts w:hint="eastAsia" w:ascii="宋体" w:hAnsi="宋体" w:eastAsia="宋体" w:cs="等线"/>
                <w:sz w:val="24"/>
                <w:szCs w:val="24"/>
                <w:lang w:eastAsia="zh-CN"/>
              </w:rPr>
              <w:t>6.投标人具有岗位职业能力分析类相关软件著作权的或发明专利证书的，得2分。</w:t>
            </w:r>
          </w:p>
          <w:p w14:paraId="416A2B3B">
            <w:pPr>
              <w:rPr>
                <w:rFonts w:ascii="宋体" w:hAnsi="宋体" w:eastAsia="宋体" w:cs="等线"/>
                <w:sz w:val="24"/>
                <w:szCs w:val="24"/>
                <w:lang w:eastAsia="zh-CN"/>
              </w:rPr>
            </w:pPr>
            <w:r>
              <w:rPr>
                <w:rFonts w:hint="eastAsia" w:ascii="宋体" w:hAnsi="宋体" w:eastAsia="宋体" w:cs="等线"/>
                <w:sz w:val="24"/>
                <w:szCs w:val="24"/>
                <w:lang w:eastAsia="zh-CN"/>
              </w:rPr>
              <w:t>注：投标人须出具相关证明材料，如相关网站截图或其他证明文件，未按要求提供有效证明材料或提供不清晰导致评委无法识别的均不得分。</w:t>
            </w:r>
            <w:r>
              <w:rPr>
                <w:rFonts w:hint="eastAsia" w:ascii="宋体" w:hAnsi="宋体" w:eastAsia="宋体" w:cs="等线"/>
                <w:sz w:val="24"/>
                <w:szCs w:val="24"/>
              </w:rPr>
              <w:t>"</w:t>
            </w:r>
          </w:p>
        </w:tc>
      </w:tr>
    </w:tbl>
    <w:p w14:paraId="47838B2C">
      <w:pPr>
        <w:autoSpaceDE/>
        <w:autoSpaceDN/>
        <w:spacing w:line="36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注：由评委在打分前根据投标文件对招标文件中技术需求的响应程度集体讨论确定各投标产品性能所属档次，然后评委在各档次内独立打分。</w:t>
      </w:r>
    </w:p>
    <w:p w14:paraId="1C7EEF41">
      <w:pPr>
        <w:autoSpaceDE/>
        <w:autoSpaceDN/>
        <w:spacing w:line="36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总得分=A+B+C。</w:t>
      </w:r>
    </w:p>
    <w:p w14:paraId="4CAD430A">
      <w:pPr>
        <w:autoSpaceDE/>
        <w:autoSpaceDN/>
        <w:spacing w:line="360" w:lineRule="exact"/>
        <w:ind w:firstLine="470" w:firstLineChars="195"/>
        <w:rPr>
          <w:rFonts w:ascii="宋体" w:hAnsi="宋体" w:eastAsia="宋体" w:cs="宋体"/>
          <w:b/>
          <w:bCs/>
          <w:sz w:val="24"/>
          <w:szCs w:val="24"/>
          <w:lang w:eastAsia="zh-CN"/>
        </w:rPr>
      </w:pPr>
      <w:r>
        <w:rPr>
          <w:rFonts w:hint="eastAsia" w:ascii="宋体" w:hAnsi="宋体" w:eastAsia="宋体" w:cs="宋体"/>
          <w:b/>
          <w:bCs/>
          <w:sz w:val="24"/>
          <w:szCs w:val="24"/>
          <w:lang w:eastAsia="zh-CN"/>
        </w:rPr>
        <w:t>三、中标候选人推荐原则</w:t>
      </w:r>
    </w:p>
    <w:p w14:paraId="2DF1B9D7">
      <w:pPr>
        <w:autoSpaceDE/>
        <w:autoSpaceDN/>
        <w:spacing w:line="360" w:lineRule="exact"/>
        <w:ind w:firstLine="468" w:firstLineChars="195"/>
        <w:rPr>
          <w:rFonts w:ascii="宋体" w:hAnsi="宋体" w:eastAsia="宋体" w:cs="宋体"/>
          <w:sz w:val="24"/>
          <w:szCs w:val="24"/>
          <w:lang w:eastAsia="zh-CN"/>
        </w:rPr>
      </w:pPr>
      <w:r>
        <w:rPr>
          <w:rFonts w:hint="eastAsia" w:ascii="宋体" w:hAnsi="宋体" w:eastAsia="宋体" w:cs="宋体"/>
          <w:sz w:val="24"/>
          <w:szCs w:val="24"/>
          <w:lang w:eastAsia="zh-CN"/>
        </w:rPr>
        <w:t>评标委员会将根据总得分由高到低排列次序（得分相同时，以投标报价由低到高顺序排列；得分相同且投标报价相同的，按技术分高低顺序排列）并推荐前三名为中标候选单位。招标单位应当确定评审委员会推荐排名第一的中标候选人为中标人。中标单位拒绝与招标单位签订合同的，招标单位可以按照评审报告推荐的中标候选人名单排序，确定下一候选人为中标单位，也可以重新开展招标活动。</w:t>
      </w:r>
      <w:bookmarkStart w:id="0" w:name="_Toc498938253"/>
      <w:bookmarkEnd w:id="0"/>
    </w:p>
    <w:p w14:paraId="2D733377">
      <w:pPr>
        <w:jc w:val="both"/>
        <w:rPr>
          <w:rFonts w:ascii="宋体" w:hAnsi="宋体" w:eastAsia="宋体" w:cs="宋体"/>
          <w:lang w:eastAsia="zh-CN"/>
        </w:rPr>
      </w:pPr>
    </w:p>
    <w:sectPr>
      <w:footerReference r:id="rId3" w:type="default"/>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5F56">
    <w:pPr>
      <w:pStyle w:val="11"/>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4619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E4619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18607"/>
    <w:multiLevelType w:val="singleLevel"/>
    <w:tmpl w:val="22F1860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ZjIwZjQwNTU1ZWExYWFhOGZkOGNkMzYxZjc4YzcifQ=="/>
  </w:docVars>
  <w:rsids>
    <w:rsidRoot w:val="00DE1170"/>
    <w:rsid w:val="00012B94"/>
    <w:rsid w:val="0002600C"/>
    <w:rsid w:val="0005226A"/>
    <w:rsid w:val="00094474"/>
    <w:rsid w:val="00095B56"/>
    <w:rsid w:val="000D4110"/>
    <w:rsid w:val="000F2CB7"/>
    <w:rsid w:val="00122E1A"/>
    <w:rsid w:val="00132AF4"/>
    <w:rsid w:val="00142486"/>
    <w:rsid w:val="001425FC"/>
    <w:rsid w:val="0018057C"/>
    <w:rsid w:val="00192F85"/>
    <w:rsid w:val="0019308F"/>
    <w:rsid w:val="001B5F4E"/>
    <w:rsid w:val="001E0950"/>
    <w:rsid w:val="001E3C9D"/>
    <w:rsid w:val="001E4703"/>
    <w:rsid w:val="001F5ABE"/>
    <w:rsid w:val="0021413C"/>
    <w:rsid w:val="0021669A"/>
    <w:rsid w:val="00262542"/>
    <w:rsid w:val="002765CB"/>
    <w:rsid w:val="002F4B38"/>
    <w:rsid w:val="003346D5"/>
    <w:rsid w:val="00391024"/>
    <w:rsid w:val="00395AD6"/>
    <w:rsid w:val="00396B16"/>
    <w:rsid w:val="003A04AE"/>
    <w:rsid w:val="003B4CAC"/>
    <w:rsid w:val="003E5ED2"/>
    <w:rsid w:val="00401446"/>
    <w:rsid w:val="0043417A"/>
    <w:rsid w:val="004473DD"/>
    <w:rsid w:val="00473853"/>
    <w:rsid w:val="00493329"/>
    <w:rsid w:val="00496496"/>
    <w:rsid w:val="004A61E6"/>
    <w:rsid w:val="004B25B9"/>
    <w:rsid w:val="004D3A85"/>
    <w:rsid w:val="00537A00"/>
    <w:rsid w:val="0056640A"/>
    <w:rsid w:val="0056799F"/>
    <w:rsid w:val="005A79D2"/>
    <w:rsid w:val="005C52A8"/>
    <w:rsid w:val="005D479B"/>
    <w:rsid w:val="005D74BA"/>
    <w:rsid w:val="00634342"/>
    <w:rsid w:val="00635B3A"/>
    <w:rsid w:val="00673E76"/>
    <w:rsid w:val="006C190A"/>
    <w:rsid w:val="00706587"/>
    <w:rsid w:val="007068C8"/>
    <w:rsid w:val="00751845"/>
    <w:rsid w:val="00756241"/>
    <w:rsid w:val="007566E7"/>
    <w:rsid w:val="00794CC8"/>
    <w:rsid w:val="0079516A"/>
    <w:rsid w:val="007C113E"/>
    <w:rsid w:val="00860204"/>
    <w:rsid w:val="00865ACE"/>
    <w:rsid w:val="008E3B9D"/>
    <w:rsid w:val="008F3C14"/>
    <w:rsid w:val="0090667D"/>
    <w:rsid w:val="0090747F"/>
    <w:rsid w:val="009238E8"/>
    <w:rsid w:val="009375D9"/>
    <w:rsid w:val="00946F89"/>
    <w:rsid w:val="0095291D"/>
    <w:rsid w:val="009735E8"/>
    <w:rsid w:val="0099669B"/>
    <w:rsid w:val="009D264A"/>
    <w:rsid w:val="009E2AD8"/>
    <w:rsid w:val="009F2505"/>
    <w:rsid w:val="00A01CF2"/>
    <w:rsid w:val="00A05D00"/>
    <w:rsid w:val="00A13618"/>
    <w:rsid w:val="00A17E3F"/>
    <w:rsid w:val="00AC52DF"/>
    <w:rsid w:val="00AD012C"/>
    <w:rsid w:val="00AE321B"/>
    <w:rsid w:val="00B15C91"/>
    <w:rsid w:val="00B24E30"/>
    <w:rsid w:val="00B5443F"/>
    <w:rsid w:val="00B72C38"/>
    <w:rsid w:val="00BB42DD"/>
    <w:rsid w:val="00BF2147"/>
    <w:rsid w:val="00C24CA2"/>
    <w:rsid w:val="00C6453E"/>
    <w:rsid w:val="00C92B2F"/>
    <w:rsid w:val="00CA5FDD"/>
    <w:rsid w:val="00CD6A69"/>
    <w:rsid w:val="00D013C8"/>
    <w:rsid w:val="00DA7CF3"/>
    <w:rsid w:val="00DE1170"/>
    <w:rsid w:val="00DE1D9F"/>
    <w:rsid w:val="00E1586A"/>
    <w:rsid w:val="00E33CC8"/>
    <w:rsid w:val="00E44510"/>
    <w:rsid w:val="00E633D3"/>
    <w:rsid w:val="00E6354E"/>
    <w:rsid w:val="00E6601A"/>
    <w:rsid w:val="00E83E51"/>
    <w:rsid w:val="00E87A3B"/>
    <w:rsid w:val="00E90446"/>
    <w:rsid w:val="00EA0DB3"/>
    <w:rsid w:val="00EE7063"/>
    <w:rsid w:val="00F27791"/>
    <w:rsid w:val="00F40C36"/>
    <w:rsid w:val="00F42C04"/>
    <w:rsid w:val="00F62B70"/>
    <w:rsid w:val="00F8766A"/>
    <w:rsid w:val="00FC4A6A"/>
    <w:rsid w:val="00FC7469"/>
    <w:rsid w:val="00FD48A9"/>
    <w:rsid w:val="01372051"/>
    <w:rsid w:val="01C012ED"/>
    <w:rsid w:val="021D229B"/>
    <w:rsid w:val="027F2F56"/>
    <w:rsid w:val="02EE1D5F"/>
    <w:rsid w:val="037759DB"/>
    <w:rsid w:val="03D472D2"/>
    <w:rsid w:val="04DA0918"/>
    <w:rsid w:val="05641532"/>
    <w:rsid w:val="05665D07"/>
    <w:rsid w:val="05BE5B43"/>
    <w:rsid w:val="05D9297D"/>
    <w:rsid w:val="0768045D"/>
    <w:rsid w:val="083D71F3"/>
    <w:rsid w:val="09016473"/>
    <w:rsid w:val="092B34F0"/>
    <w:rsid w:val="096807EE"/>
    <w:rsid w:val="0A5151D8"/>
    <w:rsid w:val="0A7B2255"/>
    <w:rsid w:val="0B1B1342"/>
    <w:rsid w:val="0B2226D0"/>
    <w:rsid w:val="0C4F583E"/>
    <w:rsid w:val="0CE51C08"/>
    <w:rsid w:val="0DB31D06"/>
    <w:rsid w:val="0F2F1860"/>
    <w:rsid w:val="0FE20680"/>
    <w:rsid w:val="100B407B"/>
    <w:rsid w:val="11383ACD"/>
    <w:rsid w:val="113A4C18"/>
    <w:rsid w:val="120D5E88"/>
    <w:rsid w:val="122431D2"/>
    <w:rsid w:val="12A10CC7"/>
    <w:rsid w:val="137D703E"/>
    <w:rsid w:val="13E91207"/>
    <w:rsid w:val="146A5CF3"/>
    <w:rsid w:val="146F2E2A"/>
    <w:rsid w:val="15830660"/>
    <w:rsid w:val="163F4A7E"/>
    <w:rsid w:val="16B74615"/>
    <w:rsid w:val="16E86EC4"/>
    <w:rsid w:val="172B6DB1"/>
    <w:rsid w:val="18610323"/>
    <w:rsid w:val="18F06FEA"/>
    <w:rsid w:val="18F27B86"/>
    <w:rsid w:val="19445F08"/>
    <w:rsid w:val="196008DB"/>
    <w:rsid w:val="1A073B05"/>
    <w:rsid w:val="1B8C2514"/>
    <w:rsid w:val="1C99656B"/>
    <w:rsid w:val="1CAC44F0"/>
    <w:rsid w:val="1D0460DA"/>
    <w:rsid w:val="1D525097"/>
    <w:rsid w:val="1DC30469"/>
    <w:rsid w:val="1E4F15D7"/>
    <w:rsid w:val="1E8F5E77"/>
    <w:rsid w:val="1EF74148"/>
    <w:rsid w:val="1F7312F5"/>
    <w:rsid w:val="1F7E6617"/>
    <w:rsid w:val="209E65E7"/>
    <w:rsid w:val="21090163"/>
    <w:rsid w:val="218C13D2"/>
    <w:rsid w:val="22373017"/>
    <w:rsid w:val="22F015DA"/>
    <w:rsid w:val="23A44173"/>
    <w:rsid w:val="23DC390D"/>
    <w:rsid w:val="23FA28D5"/>
    <w:rsid w:val="245C2E6B"/>
    <w:rsid w:val="249E6E14"/>
    <w:rsid w:val="24E011DB"/>
    <w:rsid w:val="256718FC"/>
    <w:rsid w:val="259A3A7F"/>
    <w:rsid w:val="25B508B9"/>
    <w:rsid w:val="25C12DBA"/>
    <w:rsid w:val="26D0702D"/>
    <w:rsid w:val="27455C6D"/>
    <w:rsid w:val="28033B5E"/>
    <w:rsid w:val="2838132E"/>
    <w:rsid w:val="28904CC6"/>
    <w:rsid w:val="292E4C0A"/>
    <w:rsid w:val="292F0982"/>
    <w:rsid w:val="298C321D"/>
    <w:rsid w:val="2A0140CD"/>
    <w:rsid w:val="2A622692"/>
    <w:rsid w:val="2A834AE2"/>
    <w:rsid w:val="2B035C23"/>
    <w:rsid w:val="2B85488A"/>
    <w:rsid w:val="2BA47406"/>
    <w:rsid w:val="2BCE4483"/>
    <w:rsid w:val="2C3D5164"/>
    <w:rsid w:val="2C5A3F68"/>
    <w:rsid w:val="2D4D13D7"/>
    <w:rsid w:val="2D89528C"/>
    <w:rsid w:val="2DA07759"/>
    <w:rsid w:val="2DA52FC1"/>
    <w:rsid w:val="2DC04A9C"/>
    <w:rsid w:val="2DFF6B75"/>
    <w:rsid w:val="2E184591"/>
    <w:rsid w:val="2E1E3EC8"/>
    <w:rsid w:val="2E6115DE"/>
    <w:rsid w:val="2E8E1CA7"/>
    <w:rsid w:val="2E951288"/>
    <w:rsid w:val="2E9F08DA"/>
    <w:rsid w:val="2F24241D"/>
    <w:rsid w:val="30FD4F93"/>
    <w:rsid w:val="315F792B"/>
    <w:rsid w:val="3163566D"/>
    <w:rsid w:val="316B62D0"/>
    <w:rsid w:val="31F47267"/>
    <w:rsid w:val="32285F6F"/>
    <w:rsid w:val="322F3062"/>
    <w:rsid w:val="32A45F3D"/>
    <w:rsid w:val="32B8317A"/>
    <w:rsid w:val="32DE0B4C"/>
    <w:rsid w:val="333F17C2"/>
    <w:rsid w:val="335B7DF5"/>
    <w:rsid w:val="33FE78CF"/>
    <w:rsid w:val="344828F8"/>
    <w:rsid w:val="34873421"/>
    <w:rsid w:val="353D7F83"/>
    <w:rsid w:val="35A70D3B"/>
    <w:rsid w:val="35AD335B"/>
    <w:rsid w:val="365D6B2F"/>
    <w:rsid w:val="37770D44"/>
    <w:rsid w:val="37BE34B0"/>
    <w:rsid w:val="37FA258F"/>
    <w:rsid w:val="38F82B3F"/>
    <w:rsid w:val="3A9E7870"/>
    <w:rsid w:val="3AF70BD4"/>
    <w:rsid w:val="3B07350D"/>
    <w:rsid w:val="3B245E6D"/>
    <w:rsid w:val="3CE37662"/>
    <w:rsid w:val="3D4470F6"/>
    <w:rsid w:val="3D55095C"/>
    <w:rsid w:val="3EB92D70"/>
    <w:rsid w:val="3F780536"/>
    <w:rsid w:val="3FA64240"/>
    <w:rsid w:val="3FCC262F"/>
    <w:rsid w:val="3FE536F1"/>
    <w:rsid w:val="40D86CF7"/>
    <w:rsid w:val="41087697"/>
    <w:rsid w:val="41327CBE"/>
    <w:rsid w:val="417B7450"/>
    <w:rsid w:val="41FF6CEC"/>
    <w:rsid w:val="42332E3A"/>
    <w:rsid w:val="424010B3"/>
    <w:rsid w:val="45DE130F"/>
    <w:rsid w:val="4629258A"/>
    <w:rsid w:val="4646138E"/>
    <w:rsid w:val="46B8390E"/>
    <w:rsid w:val="471975D2"/>
    <w:rsid w:val="474D5189"/>
    <w:rsid w:val="47997EBD"/>
    <w:rsid w:val="49383370"/>
    <w:rsid w:val="4B2B6DA4"/>
    <w:rsid w:val="4B4B4D50"/>
    <w:rsid w:val="4D862108"/>
    <w:rsid w:val="4DA150FB"/>
    <w:rsid w:val="4E96144B"/>
    <w:rsid w:val="4F2953A8"/>
    <w:rsid w:val="4F626B0C"/>
    <w:rsid w:val="4F6C798B"/>
    <w:rsid w:val="500951DA"/>
    <w:rsid w:val="50100316"/>
    <w:rsid w:val="51792CBB"/>
    <w:rsid w:val="524D5852"/>
    <w:rsid w:val="53717010"/>
    <w:rsid w:val="538B4884"/>
    <w:rsid w:val="53CE5722"/>
    <w:rsid w:val="53E82F40"/>
    <w:rsid w:val="54216F96"/>
    <w:rsid w:val="54444A33"/>
    <w:rsid w:val="54635A77"/>
    <w:rsid w:val="55603AEE"/>
    <w:rsid w:val="55AC6D33"/>
    <w:rsid w:val="55E97640"/>
    <w:rsid w:val="55F66200"/>
    <w:rsid w:val="561072C2"/>
    <w:rsid w:val="56666EE2"/>
    <w:rsid w:val="57034731"/>
    <w:rsid w:val="58816051"/>
    <w:rsid w:val="58A3441E"/>
    <w:rsid w:val="58E14F46"/>
    <w:rsid w:val="5976568E"/>
    <w:rsid w:val="5A380B96"/>
    <w:rsid w:val="5A7F4A16"/>
    <w:rsid w:val="5ACF0861"/>
    <w:rsid w:val="5BC00E43"/>
    <w:rsid w:val="5BCA1CC1"/>
    <w:rsid w:val="5BCA7DFD"/>
    <w:rsid w:val="5C2C472A"/>
    <w:rsid w:val="5C797243"/>
    <w:rsid w:val="5CF60E57"/>
    <w:rsid w:val="5D9562FF"/>
    <w:rsid w:val="5DD45079"/>
    <w:rsid w:val="5E135BA1"/>
    <w:rsid w:val="5E7C4CEA"/>
    <w:rsid w:val="5E8372D2"/>
    <w:rsid w:val="5FA42829"/>
    <w:rsid w:val="5FA55B60"/>
    <w:rsid w:val="60326D30"/>
    <w:rsid w:val="62B40FD5"/>
    <w:rsid w:val="62EB2CD8"/>
    <w:rsid w:val="63141A74"/>
    <w:rsid w:val="636A4566"/>
    <w:rsid w:val="64383FFB"/>
    <w:rsid w:val="648C674C"/>
    <w:rsid w:val="64FB2EEB"/>
    <w:rsid w:val="65B521C6"/>
    <w:rsid w:val="66430FEE"/>
    <w:rsid w:val="66862C89"/>
    <w:rsid w:val="67627252"/>
    <w:rsid w:val="67FD4107"/>
    <w:rsid w:val="68B57855"/>
    <w:rsid w:val="69450BD9"/>
    <w:rsid w:val="6A8B4D12"/>
    <w:rsid w:val="6AF02DC7"/>
    <w:rsid w:val="6B286A04"/>
    <w:rsid w:val="6B6F4633"/>
    <w:rsid w:val="6B9F6CC6"/>
    <w:rsid w:val="6D373B01"/>
    <w:rsid w:val="6D567859"/>
    <w:rsid w:val="6E70494A"/>
    <w:rsid w:val="6EB14D27"/>
    <w:rsid w:val="6EBE3907"/>
    <w:rsid w:val="6FB2689C"/>
    <w:rsid w:val="70286B8A"/>
    <w:rsid w:val="703451D7"/>
    <w:rsid w:val="70FE448F"/>
    <w:rsid w:val="726431DD"/>
    <w:rsid w:val="727D13E4"/>
    <w:rsid w:val="72B8241C"/>
    <w:rsid w:val="735D2FC3"/>
    <w:rsid w:val="73DD4830"/>
    <w:rsid w:val="7400407A"/>
    <w:rsid w:val="741B0EB4"/>
    <w:rsid w:val="7491561A"/>
    <w:rsid w:val="757840E4"/>
    <w:rsid w:val="75A4BCFC"/>
    <w:rsid w:val="770E38E2"/>
    <w:rsid w:val="77BF59F4"/>
    <w:rsid w:val="781F4CEB"/>
    <w:rsid w:val="78E0447A"/>
    <w:rsid w:val="78EC0243"/>
    <w:rsid w:val="78FF41F3"/>
    <w:rsid w:val="79030B7F"/>
    <w:rsid w:val="79BD656A"/>
    <w:rsid w:val="7A783A04"/>
    <w:rsid w:val="7AAA11E4"/>
    <w:rsid w:val="7BB35E76"/>
    <w:rsid w:val="7C84479C"/>
    <w:rsid w:val="7D1D5C9D"/>
    <w:rsid w:val="7D250FF6"/>
    <w:rsid w:val="7D7B5EB4"/>
    <w:rsid w:val="7E4F0CB7"/>
    <w:rsid w:val="7E6B47E6"/>
    <w:rsid w:val="8EE6B1EF"/>
    <w:rsid w:val="AFFDD92D"/>
    <w:rsid w:val="BCFFFA27"/>
    <w:rsid w:val="BE9F6135"/>
    <w:rsid w:val="BFBF80E3"/>
    <w:rsid w:val="CAFF2319"/>
    <w:rsid w:val="D7F7CB61"/>
    <w:rsid w:val="D87E4752"/>
    <w:rsid w:val="EECAA65B"/>
    <w:rsid w:val="F3FF2CBA"/>
    <w:rsid w:val="FAEECC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paragraph" w:styleId="4">
    <w:name w:val="heading 1"/>
    <w:basedOn w:val="1"/>
    <w:next w:val="1"/>
    <w:link w:val="18"/>
    <w:qFormat/>
    <w:uiPriority w:val="9"/>
    <w:pPr>
      <w:ind w:left="2952"/>
      <w:outlineLvl w:val="0"/>
    </w:pPr>
    <w:rPr>
      <w:rFonts w:ascii="黑体" w:hAnsi="黑体" w:eastAsia="黑体" w:cs="黑体"/>
      <w:sz w:val="44"/>
      <w:szCs w:val="44"/>
    </w:rPr>
  </w:style>
  <w:style w:type="paragraph" w:styleId="5">
    <w:name w:val="heading 2"/>
    <w:basedOn w:val="1"/>
    <w:next w:val="1"/>
    <w:link w:val="31"/>
    <w:qFormat/>
    <w:uiPriority w:val="9"/>
    <w:pPr>
      <w:keepNext/>
      <w:keepLines/>
      <w:spacing w:before="260" w:after="260" w:line="416" w:lineRule="auto"/>
      <w:outlineLvl w:val="1"/>
    </w:pPr>
    <w:rPr>
      <w:rFonts w:ascii="Calibri Light" w:hAnsi="Calibri Light" w:eastAsia="宋体" w:cs="宋体"/>
      <w:b/>
      <w:bCs/>
      <w:sz w:val="32"/>
      <w:szCs w:val="32"/>
    </w:rPr>
  </w:style>
  <w:style w:type="paragraph" w:styleId="6">
    <w:name w:val="heading 3"/>
    <w:basedOn w:val="1"/>
    <w:next w:val="1"/>
    <w:link w:val="35"/>
    <w:qFormat/>
    <w:uiPriority w:val="0"/>
    <w:pPr>
      <w:keepNext/>
      <w:keepLines/>
      <w:spacing w:before="260" w:after="260" w:line="416" w:lineRule="auto"/>
      <w:outlineLvl w:val="2"/>
    </w:pPr>
    <w:rPr>
      <w:b/>
      <w:bCs/>
      <w:sz w:val="32"/>
      <w:szCs w:val="32"/>
    </w:rPr>
  </w:style>
  <w:style w:type="paragraph" w:styleId="7">
    <w:name w:val="heading 4"/>
    <w:basedOn w:val="1"/>
    <w:next w:val="1"/>
    <w:link w:val="38"/>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1128" w:firstLineChars="403"/>
    </w:pPr>
    <w:rPr>
      <w:rFonts w:ascii="宋体" w:hAnsi="宋体"/>
      <w:sz w:val="28"/>
    </w:rPr>
  </w:style>
  <w:style w:type="paragraph" w:styleId="8">
    <w:name w:val="annotation text"/>
    <w:basedOn w:val="1"/>
    <w:link w:val="39"/>
    <w:qFormat/>
    <w:uiPriority w:val="0"/>
    <w:pPr>
      <w:autoSpaceDE/>
      <w:autoSpaceDN/>
    </w:pPr>
    <w:rPr>
      <w:rFonts w:ascii="Calibri" w:hAnsi="Calibri" w:eastAsia="宋体" w:cs="宋体"/>
      <w:kern w:val="2"/>
      <w:sz w:val="21"/>
      <w:szCs w:val="24"/>
      <w:lang w:eastAsia="zh-CN"/>
    </w:rPr>
  </w:style>
  <w:style w:type="paragraph" w:styleId="9">
    <w:name w:val="Body Text"/>
    <w:basedOn w:val="1"/>
    <w:link w:val="24"/>
    <w:qFormat/>
    <w:uiPriority w:val="1"/>
    <w:pPr>
      <w:spacing w:line="360" w:lineRule="auto"/>
    </w:pPr>
    <w:rPr>
      <w:rFonts w:ascii="宋体" w:hAnsi="宋体" w:eastAsia="宋体" w:cs="宋体"/>
      <w:color w:val="000000"/>
      <w:kern w:val="2"/>
      <w:sz w:val="24"/>
      <w:szCs w:val="24"/>
      <w:lang w:eastAsia="zh-CN"/>
    </w:rPr>
  </w:style>
  <w:style w:type="paragraph" w:styleId="10">
    <w:name w:val="Plain Text"/>
    <w:basedOn w:val="1"/>
    <w:link w:val="46"/>
    <w:qFormat/>
    <w:uiPriority w:val="0"/>
    <w:rPr>
      <w:rFonts w:ascii="新宋体" w:hAnsi="新宋体"/>
      <w:szCs w:val="21"/>
    </w:rPr>
  </w:style>
  <w:style w:type="paragraph" w:styleId="11">
    <w:name w:val="footer"/>
    <w:basedOn w:val="1"/>
    <w:link w:val="22"/>
    <w:qFormat/>
    <w:uiPriority w:val="0"/>
    <w:pPr>
      <w:tabs>
        <w:tab w:val="center" w:pos="4153"/>
        <w:tab w:val="right" w:pos="8306"/>
      </w:tabs>
      <w:snapToGrid w:val="0"/>
    </w:pPr>
    <w:rPr>
      <w:sz w:val="18"/>
      <w:szCs w:val="18"/>
    </w:rPr>
  </w:style>
  <w:style w:type="paragraph" w:styleId="12">
    <w:name w:val="header"/>
    <w:basedOn w:val="1"/>
    <w:link w:val="21"/>
    <w:qFormat/>
    <w:uiPriority w:val="0"/>
    <w:pPr>
      <w:tabs>
        <w:tab w:val="center" w:pos="4153"/>
        <w:tab w:val="right" w:pos="8306"/>
      </w:tabs>
      <w:snapToGrid w:val="0"/>
      <w:jc w:val="center"/>
    </w:pPr>
    <w:rPr>
      <w:sz w:val="18"/>
      <w:szCs w:val="18"/>
    </w:rPr>
  </w:style>
  <w:style w:type="paragraph" w:styleId="13">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标题 1 Char"/>
    <w:basedOn w:val="16"/>
    <w:link w:val="4"/>
    <w:qFormat/>
    <w:uiPriority w:val="9"/>
    <w:rPr>
      <w:rFonts w:ascii="黑体" w:hAnsi="黑体" w:eastAsia="黑体" w:cs="黑体"/>
      <w:sz w:val="44"/>
      <w:szCs w:val="44"/>
      <w:lang w:eastAsia="en-US"/>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表格文字"/>
    <w:qFormat/>
    <w:uiPriority w:val="99"/>
    <w:pPr>
      <w:widowControl w:val="0"/>
      <w:spacing w:before="25" w:after="25"/>
      <w:jc w:val="both"/>
    </w:pPr>
    <w:rPr>
      <w:rFonts w:ascii="Calibri" w:hAnsi="Calibri" w:eastAsia="宋体" w:cs="Times New Roman"/>
      <w:bCs/>
      <w:spacing w:val="10"/>
      <w:kern w:val="2"/>
      <w:sz w:val="24"/>
      <w:lang w:val="en-US" w:eastAsia="zh-CN" w:bidi="ar-SA"/>
    </w:rPr>
  </w:style>
  <w:style w:type="character" w:customStyle="1" w:styleId="21">
    <w:name w:val="页眉 Char"/>
    <w:basedOn w:val="16"/>
    <w:link w:val="12"/>
    <w:qFormat/>
    <w:uiPriority w:val="0"/>
    <w:rPr>
      <w:rFonts w:ascii="仿宋" w:hAnsi="仿宋" w:eastAsia="仿宋" w:cs="仿宋"/>
      <w:sz w:val="18"/>
      <w:szCs w:val="18"/>
      <w:lang w:eastAsia="en-US"/>
    </w:rPr>
  </w:style>
  <w:style w:type="character" w:customStyle="1" w:styleId="22">
    <w:name w:val="页脚 Char"/>
    <w:basedOn w:val="16"/>
    <w:link w:val="11"/>
    <w:qFormat/>
    <w:uiPriority w:val="0"/>
    <w:rPr>
      <w:rFonts w:ascii="仿宋" w:hAnsi="仿宋" w:eastAsia="仿宋" w:cs="仿宋"/>
      <w:sz w:val="18"/>
      <w:szCs w:val="18"/>
      <w:lang w:eastAsia="en-US"/>
    </w:rPr>
  </w:style>
  <w:style w:type="paragraph" w:customStyle="1" w:styleId="23">
    <w:name w:val="be358f00-9758-446e-aec5-cde8345aeef3"/>
    <w:basedOn w:val="9"/>
    <w:link w:val="25"/>
    <w:qFormat/>
    <w:uiPriority w:val="0"/>
    <w:pPr>
      <w:adjustRightInd w:val="0"/>
      <w:spacing w:line="288" w:lineRule="auto"/>
      <w:ind w:firstLine="440"/>
    </w:pPr>
    <w:rPr>
      <w:rFonts w:ascii="微软雅黑" w:hAnsi="微软雅黑" w:eastAsia="微软雅黑"/>
      <w:sz w:val="22"/>
    </w:rPr>
  </w:style>
  <w:style w:type="character" w:customStyle="1" w:styleId="24">
    <w:name w:val="正文文本 Char"/>
    <w:basedOn w:val="16"/>
    <w:link w:val="9"/>
    <w:qFormat/>
    <w:uiPriority w:val="1"/>
    <w:rPr>
      <w:rFonts w:ascii="宋体" w:hAnsi="宋体" w:eastAsia="宋体" w:cs="宋体"/>
      <w:color w:val="000000"/>
      <w:kern w:val="2"/>
      <w:sz w:val="24"/>
      <w:szCs w:val="24"/>
    </w:rPr>
  </w:style>
  <w:style w:type="character" w:customStyle="1" w:styleId="25">
    <w:name w:val="be358f00-9758-446e-aec5-cde8345aeef3 字符"/>
    <w:basedOn w:val="24"/>
    <w:link w:val="23"/>
    <w:qFormat/>
    <w:uiPriority w:val="0"/>
    <w:rPr>
      <w:rFonts w:ascii="微软雅黑" w:hAnsi="微软雅黑" w:eastAsia="微软雅黑" w:cs="宋体"/>
      <w:color w:val="000000"/>
      <w:kern w:val="2"/>
      <w:sz w:val="22"/>
      <w:szCs w:val="24"/>
      <w:lang w:eastAsia="en-US"/>
    </w:rPr>
  </w:style>
  <w:style w:type="paragraph" w:customStyle="1" w:styleId="26">
    <w:name w:val="bd243d13-394e-4bd9-99c9-3a29947aa2a1"/>
    <w:basedOn w:val="9"/>
    <w:link w:val="27"/>
    <w:qFormat/>
    <w:uiPriority w:val="0"/>
    <w:pPr>
      <w:adjustRightInd w:val="0"/>
      <w:spacing w:line="600" w:lineRule="exact"/>
      <w:ind w:firstLine="640"/>
      <w:jc w:val="both"/>
    </w:pPr>
  </w:style>
  <w:style w:type="character" w:customStyle="1" w:styleId="27">
    <w:name w:val="bd243d13-394e-4bd9-99c9-3a29947aa2a1 字符"/>
    <w:basedOn w:val="24"/>
    <w:link w:val="26"/>
    <w:qFormat/>
    <w:uiPriority w:val="0"/>
    <w:rPr>
      <w:rFonts w:ascii="仿宋" w:hAnsi="仿宋" w:eastAsia="仿宋" w:cs="宋体"/>
      <w:color w:val="000000"/>
      <w:kern w:val="2"/>
      <w:sz w:val="32"/>
      <w:szCs w:val="24"/>
      <w:lang w:eastAsia="en-US"/>
    </w:rPr>
  </w:style>
  <w:style w:type="paragraph" w:customStyle="1" w:styleId="28">
    <w:name w:val="71e7dc79-1ff7-45e8-997d-0ebda3762b91"/>
    <w:basedOn w:val="5"/>
    <w:next w:val="29"/>
    <w:link w:val="30"/>
    <w:qFormat/>
    <w:uiPriority w:val="0"/>
    <w:pPr>
      <w:adjustRightInd w:val="0"/>
      <w:spacing w:before="0" w:after="0" w:line="288" w:lineRule="auto"/>
    </w:pPr>
    <w:rPr>
      <w:rFonts w:ascii="微软雅黑" w:hAnsi="微软雅黑" w:eastAsia="微软雅黑"/>
      <w:color w:val="000000"/>
      <w:kern w:val="2"/>
      <w:sz w:val="28"/>
      <w:szCs w:val="24"/>
    </w:rPr>
  </w:style>
  <w:style w:type="paragraph" w:customStyle="1" w:styleId="29">
    <w:name w:val="acbfdd8b-e11b-4d36-88ff-6049b138f862"/>
    <w:basedOn w:val="9"/>
    <w:link w:val="32"/>
    <w:qFormat/>
    <w:uiPriority w:val="0"/>
    <w:pPr>
      <w:adjustRightInd w:val="0"/>
      <w:spacing w:line="288" w:lineRule="auto"/>
    </w:pPr>
    <w:rPr>
      <w:rFonts w:ascii="微软雅黑" w:hAnsi="微软雅黑" w:eastAsia="微软雅黑"/>
      <w:sz w:val="22"/>
    </w:rPr>
  </w:style>
  <w:style w:type="character" w:customStyle="1" w:styleId="30">
    <w:name w:val="71e7dc79-1ff7-45e8-997d-0ebda3762b91 字符"/>
    <w:basedOn w:val="24"/>
    <w:link w:val="28"/>
    <w:qFormat/>
    <w:uiPriority w:val="0"/>
    <w:rPr>
      <w:rFonts w:ascii="微软雅黑" w:hAnsi="微软雅黑" w:eastAsia="微软雅黑" w:cs="宋体"/>
      <w:b/>
      <w:bCs/>
      <w:color w:val="000000"/>
      <w:kern w:val="2"/>
      <w:sz w:val="28"/>
      <w:szCs w:val="24"/>
      <w:lang w:eastAsia="en-US"/>
    </w:rPr>
  </w:style>
  <w:style w:type="character" w:customStyle="1" w:styleId="31">
    <w:name w:val="标题 2 Char"/>
    <w:basedOn w:val="16"/>
    <w:link w:val="5"/>
    <w:qFormat/>
    <w:uiPriority w:val="9"/>
    <w:rPr>
      <w:rFonts w:ascii="Calibri Light" w:hAnsi="Calibri Light" w:eastAsia="宋体" w:cs="宋体"/>
      <w:b/>
      <w:bCs/>
      <w:sz w:val="32"/>
      <w:szCs w:val="32"/>
      <w:lang w:eastAsia="en-US"/>
    </w:rPr>
  </w:style>
  <w:style w:type="character" w:customStyle="1" w:styleId="32">
    <w:name w:val="acbfdd8b-e11b-4d36-88ff-6049b138f862 字符"/>
    <w:basedOn w:val="24"/>
    <w:link w:val="29"/>
    <w:qFormat/>
    <w:uiPriority w:val="0"/>
    <w:rPr>
      <w:rFonts w:ascii="微软雅黑" w:hAnsi="微软雅黑" w:eastAsia="微软雅黑" w:cs="宋体"/>
      <w:color w:val="000000"/>
      <w:kern w:val="2"/>
      <w:sz w:val="22"/>
      <w:szCs w:val="24"/>
      <w:lang w:eastAsia="en-US"/>
    </w:rPr>
  </w:style>
  <w:style w:type="paragraph" w:customStyle="1" w:styleId="33">
    <w:name w:val="b63ee27f-4cf3-414c-9275-d88e3f90795e"/>
    <w:basedOn w:val="6"/>
    <w:next w:val="29"/>
    <w:link w:val="34"/>
    <w:qFormat/>
    <w:uiPriority w:val="0"/>
    <w:pPr>
      <w:adjustRightInd w:val="0"/>
      <w:spacing w:before="0" w:after="0" w:line="288" w:lineRule="auto"/>
    </w:pPr>
    <w:rPr>
      <w:rFonts w:ascii="微软雅黑" w:hAnsi="微软雅黑" w:eastAsia="微软雅黑" w:cs="宋体"/>
      <w:bCs w:val="0"/>
      <w:color w:val="000000"/>
      <w:kern w:val="2"/>
      <w:sz w:val="26"/>
      <w:szCs w:val="24"/>
    </w:rPr>
  </w:style>
  <w:style w:type="character" w:customStyle="1" w:styleId="34">
    <w:name w:val="b63ee27f-4cf3-414c-9275-d88e3f90795e 字符"/>
    <w:basedOn w:val="24"/>
    <w:link w:val="33"/>
    <w:qFormat/>
    <w:uiPriority w:val="0"/>
    <w:rPr>
      <w:rFonts w:ascii="微软雅黑" w:hAnsi="微软雅黑" w:eastAsia="微软雅黑" w:cs="宋体"/>
      <w:b/>
      <w:color w:val="000000"/>
      <w:kern w:val="2"/>
      <w:sz w:val="26"/>
      <w:szCs w:val="24"/>
      <w:lang w:eastAsia="en-US"/>
    </w:rPr>
  </w:style>
  <w:style w:type="character" w:customStyle="1" w:styleId="35">
    <w:name w:val="标题 3 Char"/>
    <w:basedOn w:val="16"/>
    <w:link w:val="6"/>
    <w:qFormat/>
    <w:uiPriority w:val="0"/>
    <w:rPr>
      <w:rFonts w:ascii="仿宋" w:hAnsi="仿宋" w:eastAsia="仿宋" w:cs="仿宋"/>
      <w:b/>
      <w:bCs/>
      <w:sz w:val="32"/>
      <w:szCs w:val="32"/>
      <w:lang w:eastAsia="en-US"/>
    </w:rPr>
  </w:style>
  <w:style w:type="paragraph" w:customStyle="1" w:styleId="36">
    <w:name w:val="566ba9ff-a5b0-4b6f-bbdf-c3ab41993fc2"/>
    <w:basedOn w:val="7"/>
    <w:next w:val="29"/>
    <w:link w:val="37"/>
    <w:qFormat/>
    <w:uiPriority w:val="0"/>
    <w:pPr>
      <w:adjustRightInd w:val="0"/>
      <w:spacing w:before="0" w:after="0" w:line="288" w:lineRule="auto"/>
    </w:pPr>
    <w:rPr>
      <w:rFonts w:ascii="微软雅黑" w:hAnsi="微软雅黑" w:eastAsia="微软雅黑"/>
      <w:bCs w:val="0"/>
      <w:color w:val="000000"/>
      <w:kern w:val="2"/>
      <w:sz w:val="24"/>
      <w:szCs w:val="24"/>
    </w:rPr>
  </w:style>
  <w:style w:type="character" w:customStyle="1" w:styleId="37">
    <w:name w:val="566ba9ff-a5b0-4b6f-bbdf-c3ab41993fc2 字符"/>
    <w:basedOn w:val="24"/>
    <w:link w:val="36"/>
    <w:qFormat/>
    <w:uiPriority w:val="0"/>
    <w:rPr>
      <w:rFonts w:ascii="微软雅黑" w:hAnsi="微软雅黑" w:eastAsia="微软雅黑" w:cs="宋体"/>
      <w:b/>
      <w:color w:val="000000"/>
      <w:kern w:val="2"/>
      <w:sz w:val="24"/>
      <w:szCs w:val="24"/>
      <w:lang w:eastAsia="en-US"/>
    </w:rPr>
  </w:style>
  <w:style w:type="character" w:customStyle="1" w:styleId="38">
    <w:name w:val="标题 4 Char"/>
    <w:basedOn w:val="16"/>
    <w:link w:val="7"/>
    <w:qFormat/>
    <w:uiPriority w:val="0"/>
    <w:rPr>
      <w:rFonts w:ascii="Calibri Light" w:hAnsi="Calibri Light" w:eastAsia="宋体" w:cs="宋体"/>
      <w:b/>
      <w:bCs/>
      <w:sz w:val="28"/>
      <w:szCs w:val="28"/>
      <w:lang w:eastAsia="en-US"/>
    </w:rPr>
  </w:style>
  <w:style w:type="character" w:customStyle="1" w:styleId="39">
    <w:name w:val="批注文字 Char"/>
    <w:basedOn w:val="16"/>
    <w:link w:val="8"/>
    <w:qFormat/>
    <w:uiPriority w:val="0"/>
    <w:rPr>
      <w:kern w:val="2"/>
      <w:sz w:val="21"/>
      <w:szCs w:val="24"/>
    </w:rPr>
  </w:style>
  <w:style w:type="paragraph" w:styleId="40">
    <w:name w:val="List Paragraph"/>
    <w:basedOn w:val="1"/>
    <w:qFormat/>
    <w:uiPriority w:val="1"/>
    <w:pPr>
      <w:autoSpaceDE/>
      <w:autoSpaceDN/>
      <w:ind w:firstLine="420" w:firstLineChars="200"/>
      <w:jc w:val="both"/>
    </w:pPr>
    <w:rPr>
      <w:rFonts w:ascii="Calibri" w:hAnsi="Calibri" w:eastAsia="宋体" w:cs="宋体"/>
      <w:kern w:val="2"/>
      <w:sz w:val="21"/>
      <w:szCs w:val="24"/>
      <w:lang w:eastAsia="zh-CN"/>
    </w:rPr>
  </w:style>
  <w:style w:type="paragraph" w:customStyle="1" w:styleId="41">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character" w:customStyle="1" w:styleId="42">
    <w:name w:val="font31"/>
    <w:basedOn w:val="16"/>
    <w:qFormat/>
    <w:uiPriority w:val="0"/>
    <w:rPr>
      <w:rFonts w:hint="eastAsia" w:ascii="宋体" w:hAnsi="宋体" w:eastAsia="宋体" w:cs="宋体"/>
      <w:color w:val="000000"/>
      <w:sz w:val="21"/>
      <w:szCs w:val="21"/>
      <w:u w:val="none"/>
    </w:rPr>
  </w:style>
  <w:style w:type="paragraph" w:customStyle="1" w:styleId="43">
    <w:name w:val="Table Text"/>
    <w:basedOn w:val="1"/>
    <w:semiHidden/>
    <w:qFormat/>
    <w:uiPriority w:val="0"/>
    <w:rPr>
      <w:rFonts w:ascii="宋体" w:hAnsi="宋体" w:eastAsia="宋体" w:cs="宋体"/>
      <w:sz w:val="20"/>
      <w:szCs w:val="20"/>
    </w:rPr>
  </w:style>
  <w:style w:type="paragraph" w:customStyle="1" w:styleId="44">
    <w:name w:val="列出段落2"/>
    <w:basedOn w:val="1"/>
    <w:qFormat/>
    <w:uiPriority w:val="0"/>
    <w:pPr>
      <w:adjustRightInd w:val="0"/>
      <w:spacing w:line="312" w:lineRule="atLeast"/>
      <w:ind w:firstLine="420" w:firstLineChars="200"/>
      <w:textAlignment w:val="baseline"/>
    </w:pPr>
    <w:rPr>
      <w:rFonts w:ascii="新宋体" w:hAnsi="新宋体"/>
      <w:szCs w:val="20"/>
    </w:rPr>
  </w:style>
  <w:style w:type="table" w:customStyle="1" w:styleId="45">
    <w:name w:val="Table Normal"/>
    <w:basedOn w:val="14"/>
    <w:semiHidden/>
    <w:unhideWhenUsed/>
    <w:qFormat/>
    <w:uiPriority w:val="0"/>
    <w:tblPr>
      <w:tblCellMar>
        <w:top w:w="0" w:type="dxa"/>
        <w:left w:w="0" w:type="dxa"/>
        <w:bottom w:w="0" w:type="dxa"/>
        <w:right w:w="0" w:type="dxa"/>
      </w:tblCellMar>
    </w:tblPr>
  </w:style>
  <w:style w:type="character" w:customStyle="1" w:styleId="46">
    <w:name w:val="纯文本 Char"/>
    <w:link w:val="10"/>
    <w:qFormat/>
    <w:uiPriority w:val="0"/>
    <w:rPr>
      <w:rFonts w:ascii="新宋体" w:hAnsi="新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0618A-A3B2-4E59-9C27-D5A9396371B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2777</Words>
  <Characters>2831</Characters>
  <Lines>20</Lines>
  <Paragraphs>5</Paragraphs>
  <TotalTime>8</TotalTime>
  <ScaleCrop>false</ScaleCrop>
  <LinksUpToDate>false</LinksUpToDate>
  <CharactersWithSpaces>2837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2025-09-26T02:25:00Z</dcterms:created>
  <dc:creator>稻草人</dc:creator>
  <cp:lastModifiedBy>warm</cp:lastModifiedBy>
  <cp:lastPrinted>2024-10-11T00:34:00Z</cp:lastPrinted>
  <dcterms:modified xsi:type="dcterms:W3CDTF">2025-09-26T04:03:10Z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4AC2E93F660E42F8A7557D29656F5ECF_13</vt:lpwstr>
  </property>
  <property fmtid="{D5CDD505-2E9C-101B-9397-08002B2CF9AE}" pid="4" name="KSOTemplateDocerSaveRecord">
    <vt:lpwstr>eyJoZGlkIjoiOGQxMWU3NDAzYjg2ZTM5MjUzNDc1NTNmNGM2YjI1OWUiLCJ1c2VySWQiOiI5Mjg3NDI2OTIifQ==</vt:lpwstr>
  </property>
</Properties>
</file>