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325" w:firstLineChars="300"/>
        <w:jc w:val="both"/>
        <w:rPr>
          <w:rFonts w:ascii="方正小标宋简体" w:hAnsi="宋体" w:eastAsia="方正小标宋简体"/>
          <w:b/>
          <w:sz w:val="44"/>
          <w:szCs w:val="44"/>
        </w:rPr>
      </w:pPr>
      <w:r>
        <w:rPr>
          <w:rFonts w:hint="eastAsia" w:ascii="方正小标宋简体" w:hAnsi="宋体" w:eastAsia="方正小标宋简体"/>
          <w:b/>
          <w:sz w:val="44"/>
          <w:szCs w:val="44"/>
        </w:rPr>
        <w:t>工业分析与检验专业人才培养方案</w:t>
      </w:r>
    </w:p>
    <w:p>
      <w:pPr>
        <w:spacing w:line="600" w:lineRule="exact"/>
        <w:ind w:firstLine="630" w:firstLineChars="196"/>
        <w:rPr>
          <w:rFonts w:ascii="黑体" w:hAnsi="黑体" w:eastAsia="黑体"/>
          <w:b/>
          <w:sz w:val="32"/>
        </w:rPr>
      </w:pPr>
      <w:r>
        <w:rPr>
          <w:rFonts w:hint="eastAsia" w:ascii="黑体" w:hAnsi="黑体" w:eastAsia="黑体"/>
          <w:b/>
          <w:sz w:val="32"/>
        </w:rPr>
        <w:t>一、专业名称及代码</w:t>
      </w:r>
    </w:p>
    <w:p>
      <w:pPr>
        <w:pStyle w:val="16"/>
        <w:snapToGrid w:val="0"/>
        <w:spacing w:line="400" w:lineRule="exact"/>
        <w:ind w:firstLine="640"/>
        <w:rPr>
          <w:rFonts w:ascii="仿宋_GB2312" w:hAnsi="宋体"/>
          <w:spacing w:val="-20"/>
          <w:sz w:val="32"/>
        </w:rPr>
      </w:pPr>
      <w:r>
        <w:rPr>
          <w:rFonts w:hint="eastAsia" w:ascii="仿宋_GB2312" w:hAnsi="宋体" w:eastAsia="仿宋_GB2312"/>
          <w:kern w:val="2"/>
          <w:sz w:val="32"/>
          <w:szCs w:val="30"/>
        </w:rPr>
        <w:t>（一）专业名称:工业分析与检验</w:t>
      </w:r>
    </w:p>
    <w:p>
      <w:pPr>
        <w:spacing w:line="600" w:lineRule="exact"/>
        <w:ind w:firstLine="640" w:firstLineChars="200"/>
        <w:rPr>
          <w:rFonts w:ascii="仿宋_GB2312" w:hAnsi="宋体"/>
          <w:spacing w:val="-20"/>
          <w:sz w:val="32"/>
        </w:rPr>
      </w:pPr>
      <w:r>
        <w:rPr>
          <w:rFonts w:hint="eastAsia" w:ascii="仿宋_GB2312" w:hAnsi="宋体"/>
          <w:sz w:val="32"/>
        </w:rPr>
        <w:t>（二）专业代码:060200</w:t>
      </w:r>
    </w:p>
    <w:p>
      <w:pPr>
        <w:spacing w:line="600" w:lineRule="exact"/>
        <w:ind w:firstLine="630" w:firstLineChars="196"/>
        <w:rPr>
          <w:rFonts w:ascii="黑体" w:hAnsi="黑体" w:eastAsia="黑体"/>
          <w:b/>
          <w:sz w:val="32"/>
        </w:rPr>
      </w:pPr>
      <w:r>
        <w:rPr>
          <w:rFonts w:hint="eastAsia" w:ascii="黑体" w:hAnsi="黑体" w:eastAsia="黑体"/>
          <w:b/>
          <w:sz w:val="32"/>
        </w:rPr>
        <w:t>二、入学要求</w:t>
      </w:r>
    </w:p>
    <w:p>
      <w:pPr>
        <w:adjustRightInd w:val="0"/>
        <w:snapToGrid w:val="0"/>
        <w:spacing w:line="600" w:lineRule="exact"/>
        <w:ind w:firstLine="640" w:firstLineChars="200"/>
        <w:rPr>
          <w:bCs/>
          <w:color w:val="000000"/>
          <w:sz w:val="28"/>
          <w:szCs w:val="28"/>
        </w:rPr>
      </w:pPr>
      <w:r>
        <w:rPr>
          <w:rFonts w:hint="eastAsia" w:ascii="仿宋_GB2312" w:hAnsi="宋体"/>
          <w:sz w:val="32"/>
        </w:rPr>
        <w:t>初中毕业生或具有同等学力者</w:t>
      </w:r>
      <w:r>
        <w:rPr>
          <w:rFonts w:hint="eastAsia"/>
          <w:bCs/>
          <w:color w:val="000000"/>
          <w:sz w:val="28"/>
          <w:szCs w:val="28"/>
        </w:rPr>
        <w:t>。</w:t>
      </w:r>
    </w:p>
    <w:p>
      <w:pPr>
        <w:adjustRightInd w:val="0"/>
        <w:snapToGrid w:val="0"/>
        <w:spacing w:line="360" w:lineRule="auto"/>
        <w:ind w:firstLine="630" w:firstLineChars="196"/>
        <w:outlineLvl w:val="0"/>
        <w:rPr>
          <w:rFonts w:ascii="黑体" w:hAnsi="黑体" w:eastAsia="黑体"/>
          <w:b/>
          <w:color w:val="000000"/>
          <w:sz w:val="32"/>
        </w:rPr>
      </w:pPr>
      <w:r>
        <w:rPr>
          <w:rFonts w:ascii="黑体" w:hAnsi="黑体" w:eastAsia="黑体"/>
          <w:b/>
          <w:color w:val="000000"/>
          <w:sz w:val="32"/>
        </w:rPr>
        <w:t>三、</w:t>
      </w:r>
      <w:r>
        <w:rPr>
          <w:rFonts w:hint="eastAsia" w:ascii="黑体" w:hAnsi="黑体" w:eastAsia="黑体"/>
          <w:b/>
          <w:color w:val="000000"/>
          <w:sz w:val="32"/>
        </w:rPr>
        <w:t>学习年限</w:t>
      </w:r>
    </w:p>
    <w:tbl>
      <w:tblPr>
        <w:tblStyle w:val="7"/>
        <w:tblW w:w="9300"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3100"/>
        <w:gridCol w:w="31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100" w:type="dxa"/>
            <w:tcBorders>
              <w:top w:val="single" w:color="auto" w:sz="12" w:space="0"/>
            </w:tcBorders>
            <w:shd w:val="clear" w:color="auto" w:fill="E6E6E6"/>
            <w:vAlign w:val="center"/>
          </w:tcPr>
          <w:p>
            <w:pPr>
              <w:jc w:val="center"/>
              <w:rPr>
                <w:b/>
                <w:sz w:val="24"/>
                <w:szCs w:val="24"/>
              </w:rPr>
            </w:pPr>
            <w:r>
              <w:rPr>
                <w:rFonts w:hint="eastAsia"/>
                <w:b/>
                <w:sz w:val="24"/>
                <w:szCs w:val="24"/>
              </w:rPr>
              <w:t>培养</w:t>
            </w:r>
            <w:r>
              <w:rPr>
                <w:b/>
                <w:sz w:val="24"/>
                <w:szCs w:val="24"/>
              </w:rPr>
              <w:t>层次</w:t>
            </w:r>
          </w:p>
        </w:tc>
        <w:tc>
          <w:tcPr>
            <w:tcW w:w="3100" w:type="dxa"/>
            <w:tcBorders>
              <w:top w:val="single" w:color="auto" w:sz="12" w:space="0"/>
            </w:tcBorders>
            <w:shd w:val="clear" w:color="auto" w:fill="E6E6E6"/>
            <w:vAlign w:val="center"/>
          </w:tcPr>
          <w:p>
            <w:pPr>
              <w:jc w:val="center"/>
              <w:rPr>
                <w:b/>
                <w:sz w:val="24"/>
                <w:szCs w:val="24"/>
              </w:rPr>
            </w:pPr>
            <w:r>
              <w:rPr>
                <w:b/>
                <w:sz w:val="24"/>
                <w:szCs w:val="24"/>
              </w:rPr>
              <w:t>招生对象</w:t>
            </w:r>
          </w:p>
        </w:tc>
        <w:tc>
          <w:tcPr>
            <w:tcW w:w="3100" w:type="dxa"/>
            <w:tcBorders>
              <w:top w:val="single" w:color="auto" w:sz="12" w:space="0"/>
            </w:tcBorders>
            <w:shd w:val="clear" w:color="auto" w:fill="E6E6E6"/>
            <w:vAlign w:val="center"/>
          </w:tcPr>
          <w:p>
            <w:pPr>
              <w:jc w:val="center"/>
              <w:rPr>
                <w:b/>
                <w:sz w:val="24"/>
                <w:szCs w:val="24"/>
              </w:rPr>
            </w:pPr>
            <w:r>
              <w:rPr>
                <w:b/>
                <w:sz w:val="24"/>
                <w:szCs w:val="24"/>
              </w:rPr>
              <w:t>学制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00" w:type="dxa"/>
            <w:vAlign w:val="center"/>
          </w:tcPr>
          <w:p>
            <w:pPr>
              <w:jc w:val="center"/>
              <w:rPr>
                <w:sz w:val="24"/>
                <w:szCs w:val="24"/>
              </w:rPr>
            </w:pPr>
            <w:r>
              <w:rPr>
                <w:rFonts w:hint="eastAsia" w:hAnsi="宋体"/>
                <w:sz w:val="24"/>
                <w:szCs w:val="24"/>
              </w:rPr>
              <w:t>中级</w:t>
            </w:r>
            <w:r>
              <w:rPr>
                <w:rFonts w:hAnsi="宋体"/>
                <w:sz w:val="24"/>
                <w:szCs w:val="24"/>
              </w:rPr>
              <w:t>技</w:t>
            </w:r>
            <w:r>
              <w:rPr>
                <w:rFonts w:hint="eastAsia" w:hAnsi="宋体"/>
                <w:sz w:val="24"/>
                <w:szCs w:val="24"/>
              </w:rPr>
              <w:t>能</w:t>
            </w:r>
          </w:p>
        </w:tc>
        <w:tc>
          <w:tcPr>
            <w:tcW w:w="3100" w:type="dxa"/>
            <w:vAlign w:val="center"/>
          </w:tcPr>
          <w:p>
            <w:pPr>
              <w:jc w:val="center"/>
              <w:rPr>
                <w:sz w:val="24"/>
                <w:szCs w:val="24"/>
              </w:rPr>
            </w:pPr>
            <w:r>
              <w:rPr>
                <w:rFonts w:hint="eastAsia" w:hAnsi="宋体"/>
                <w:sz w:val="24"/>
                <w:szCs w:val="24"/>
              </w:rPr>
              <w:t>初中</w:t>
            </w:r>
            <w:r>
              <w:rPr>
                <w:rFonts w:hAnsi="宋体"/>
                <w:sz w:val="24"/>
                <w:szCs w:val="24"/>
              </w:rPr>
              <w:t>毕业生</w:t>
            </w:r>
          </w:p>
        </w:tc>
        <w:tc>
          <w:tcPr>
            <w:tcW w:w="3100" w:type="dxa"/>
            <w:vAlign w:val="center"/>
          </w:tcPr>
          <w:p>
            <w:pPr>
              <w:jc w:val="center"/>
              <w:rPr>
                <w:sz w:val="24"/>
                <w:szCs w:val="24"/>
              </w:rPr>
            </w:pPr>
            <w:r>
              <w:rPr>
                <w:rFonts w:hint="eastAsia" w:hAnsi="宋体"/>
                <w:sz w:val="24"/>
                <w:szCs w:val="24"/>
              </w:rPr>
              <w:t>3</w:t>
            </w:r>
            <w:r>
              <w:rPr>
                <w:rFonts w:hAnsi="宋体"/>
                <w:sz w:val="24"/>
                <w:szCs w:val="24"/>
              </w:rPr>
              <w:t>年</w:t>
            </w:r>
          </w:p>
        </w:tc>
      </w:tr>
    </w:tbl>
    <w:p>
      <w:pPr>
        <w:spacing w:line="360" w:lineRule="auto"/>
        <w:ind w:firstLine="560" w:firstLineChars="200"/>
        <w:rPr>
          <w:rFonts w:ascii="仿宋_GB2312" w:hAnsi="宋体"/>
          <w:sz w:val="28"/>
          <w:szCs w:val="28"/>
        </w:rPr>
      </w:pPr>
    </w:p>
    <w:p>
      <w:pPr>
        <w:adjustRightInd w:val="0"/>
        <w:snapToGrid w:val="0"/>
        <w:spacing w:line="600" w:lineRule="exact"/>
        <w:ind w:firstLine="630" w:firstLineChars="196"/>
        <w:outlineLvl w:val="0"/>
        <w:rPr>
          <w:rFonts w:ascii="黑体" w:hAnsi="黑体" w:eastAsia="黑体"/>
          <w:b/>
          <w:color w:val="000000"/>
          <w:sz w:val="32"/>
        </w:rPr>
      </w:pPr>
      <w:r>
        <w:rPr>
          <w:rFonts w:hint="eastAsia" w:ascii="黑体" w:hAnsi="黑体" w:eastAsia="黑体"/>
          <w:b/>
          <w:color w:val="000000"/>
          <w:sz w:val="32"/>
        </w:rPr>
        <w:t>四</w:t>
      </w:r>
      <w:r>
        <w:rPr>
          <w:rFonts w:ascii="黑体" w:hAnsi="黑体" w:eastAsia="黑体"/>
          <w:b/>
          <w:color w:val="000000"/>
          <w:sz w:val="32"/>
        </w:rPr>
        <w:t>、职业</w:t>
      </w:r>
      <w:r>
        <w:rPr>
          <w:rFonts w:hint="eastAsia" w:ascii="黑体" w:hAnsi="黑体" w:eastAsia="黑体"/>
          <w:b/>
          <w:color w:val="000000"/>
          <w:sz w:val="32"/>
        </w:rPr>
        <w:t>岗位</w:t>
      </w:r>
      <w:r>
        <w:rPr>
          <w:rFonts w:ascii="黑体" w:hAnsi="黑体" w:eastAsia="黑体"/>
          <w:b/>
          <w:color w:val="000000"/>
          <w:sz w:val="32"/>
        </w:rPr>
        <w:t>范围</w:t>
      </w:r>
      <w:r>
        <w:rPr>
          <w:rFonts w:hint="eastAsia" w:ascii="黑体" w:hAnsi="黑体" w:eastAsia="黑体"/>
          <w:b/>
          <w:color w:val="000000"/>
          <w:sz w:val="32"/>
        </w:rPr>
        <w:t>（面向）</w:t>
      </w:r>
    </w:p>
    <w:p>
      <w:pPr>
        <w:adjustRightInd w:val="0"/>
        <w:snapToGrid w:val="0"/>
        <w:spacing w:line="600" w:lineRule="exact"/>
        <w:ind w:firstLine="560" w:firstLineChars="200"/>
        <w:rPr>
          <w:rFonts w:ascii="仿宋_GB2312" w:hAnsi="宋体"/>
          <w:sz w:val="28"/>
          <w:szCs w:val="28"/>
        </w:rPr>
      </w:pPr>
      <w:r>
        <w:rPr>
          <w:rFonts w:hint="eastAsia" w:ascii="仿宋_GB2312" w:hAnsi="宋体"/>
          <w:sz w:val="28"/>
          <w:szCs w:val="28"/>
        </w:rPr>
        <w:t>本专业的对应专业技能方向、职业岗位、职业技能等级证书，见下表。</w:t>
      </w:r>
    </w:p>
    <w:p>
      <w:pPr>
        <w:spacing w:line="600" w:lineRule="exact"/>
        <w:ind w:firstLine="560" w:firstLineChars="200"/>
        <w:jc w:val="center"/>
        <w:rPr>
          <w:rFonts w:ascii="仿宋_GB2312"/>
          <w:sz w:val="28"/>
          <w:szCs w:val="28"/>
        </w:rPr>
      </w:pPr>
      <w:r>
        <w:rPr>
          <w:rFonts w:hint="eastAsia" w:ascii="仿宋_GB2312" w:hAnsi="宋体"/>
          <w:color w:val="000000"/>
          <w:sz w:val="28"/>
          <w:szCs w:val="28"/>
        </w:rPr>
        <w:t>工业分析与检验专业对应的职业岗位范围</w:t>
      </w:r>
    </w:p>
    <w:tbl>
      <w:tblPr>
        <w:tblStyle w:val="7"/>
        <w:tblW w:w="0" w:type="auto"/>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4050"/>
        <w:gridCol w:w="29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tcBorders>
              <w:top w:val="single" w:color="auto" w:sz="12" w:space="0"/>
            </w:tcBorders>
            <w:shd w:val="clear" w:color="auto" w:fill="E6E6E6"/>
            <w:vAlign w:val="center"/>
          </w:tcPr>
          <w:p>
            <w:pPr>
              <w:jc w:val="center"/>
              <w:rPr>
                <w:b/>
                <w:sz w:val="24"/>
                <w:szCs w:val="24"/>
              </w:rPr>
            </w:pPr>
            <w:r>
              <w:rPr>
                <w:b/>
                <w:sz w:val="24"/>
                <w:szCs w:val="24"/>
              </w:rPr>
              <w:t>专业</w:t>
            </w:r>
            <w:r>
              <w:rPr>
                <w:rFonts w:hint="eastAsia"/>
                <w:b/>
                <w:sz w:val="24"/>
                <w:szCs w:val="24"/>
              </w:rPr>
              <w:t>（</w:t>
            </w:r>
            <w:r>
              <w:rPr>
                <w:b/>
                <w:sz w:val="24"/>
                <w:szCs w:val="24"/>
              </w:rPr>
              <w:t>技能</w:t>
            </w:r>
            <w:r>
              <w:rPr>
                <w:rFonts w:hint="eastAsia"/>
                <w:b/>
                <w:sz w:val="24"/>
                <w:szCs w:val="24"/>
              </w:rPr>
              <w:t>）</w:t>
            </w:r>
            <w:r>
              <w:rPr>
                <w:b/>
                <w:sz w:val="24"/>
                <w:szCs w:val="24"/>
              </w:rPr>
              <w:t>方向</w:t>
            </w:r>
          </w:p>
        </w:tc>
        <w:tc>
          <w:tcPr>
            <w:tcW w:w="4050" w:type="dxa"/>
            <w:tcBorders>
              <w:top w:val="single" w:color="auto" w:sz="12" w:space="0"/>
            </w:tcBorders>
            <w:shd w:val="clear" w:color="auto" w:fill="E6E6E6"/>
            <w:vAlign w:val="center"/>
          </w:tcPr>
          <w:p>
            <w:pPr>
              <w:jc w:val="center"/>
              <w:rPr>
                <w:b/>
                <w:sz w:val="24"/>
                <w:szCs w:val="24"/>
              </w:rPr>
            </w:pPr>
            <w:r>
              <w:rPr>
                <w:rFonts w:hint="eastAsia"/>
                <w:b/>
                <w:sz w:val="24"/>
                <w:szCs w:val="24"/>
              </w:rPr>
              <w:t>主要</w:t>
            </w:r>
            <w:r>
              <w:rPr>
                <w:b/>
                <w:sz w:val="24"/>
                <w:szCs w:val="24"/>
              </w:rPr>
              <w:t>职业</w:t>
            </w:r>
            <w:r>
              <w:rPr>
                <w:rFonts w:hint="eastAsia"/>
                <w:b/>
                <w:sz w:val="24"/>
                <w:szCs w:val="24"/>
              </w:rPr>
              <w:t>（岗位）</w:t>
            </w:r>
          </w:p>
        </w:tc>
        <w:tc>
          <w:tcPr>
            <w:tcW w:w="2997" w:type="dxa"/>
            <w:tcBorders>
              <w:top w:val="single" w:color="auto" w:sz="12" w:space="0"/>
            </w:tcBorders>
            <w:shd w:val="clear" w:color="auto" w:fill="E6E6E6"/>
            <w:vAlign w:val="center"/>
          </w:tcPr>
          <w:p>
            <w:pPr>
              <w:jc w:val="center"/>
              <w:rPr>
                <w:b/>
                <w:sz w:val="24"/>
                <w:szCs w:val="24"/>
              </w:rPr>
            </w:pPr>
            <w:r>
              <w:rPr>
                <w:rFonts w:hint="eastAsia"/>
                <w:b/>
                <w:sz w:val="24"/>
                <w:szCs w:val="24"/>
              </w:rPr>
              <w:t>职业技能等级</w:t>
            </w:r>
            <w:r>
              <w:rPr>
                <w:b/>
                <w:sz w:val="24"/>
                <w:szCs w:val="24"/>
              </w:rPr>
              <w:t>证书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restart"/>
            <w:vAlign w:val="center"/>
          </w:tcPr>
          <w:p>
            <w:pPr>
              <w:jc w:val="center"/>
              <w:rPr>
                <w:rFonts w:ascii="宋体"/>
                <w:sz w:val="28"/>
                <w:szCs w:val="28"/>
              </w:rPr>
            </w:pPr>
            <w:r>
              <w:rPr>
                <w:rFonts w:hint="eastAsia"/>
                <w:color w:val="000000"/>
                <w:sz w:val="28"/>
                <w:szCs w:val="28"/>
              </w:rPr>
              <w:t>工业分析与检验</w:t>
            </w:r>
          </w:p>
        </w:tc>
        <w:tc>
          <w:tcPr>
            <w:tcW w:w="4050" w:type="dxa"/>
            <w:vAlign w:val="center"/>
          </w:tcPr>
          <w:p>
            <w:pPr>
              <w:jc w:val="center"/>
              <w:rPr>
                <w:color w:val="000000"/>
                <w:kern w:val="0"/>
                <w:sz w:val="28"/>
                <w:szCs w:val="28"/>
              </w:rPr>
            </w:pPr>
            <w:r>
              <w:rPr>
                <w:rFonts w:hint="eastAsia" w:ascii="宋体" w:hAnsi="宋体"/>
                <w:kern w:val="0"/>
                <w:sz w:val="28"/>
                <w:szCs w:val="28"/>
              </w:rPr>
              <w:t>分析化验员</w:t>
            </w:r>
          </w:p>
        </w:tc>
        <w:tc>
          <w:tcPr>
            <w:tcW w:w="2997" w:type="dxa"/>
            <w:vMerge w:val="restart"/>
            <w:vAlign w:val="center"/>
          </w:tcPr>
          <w:p>
            <w:pPr>
              <w:widowControl/>
              <w:snapToGrid w:val="0"/>
              <w:spacing w:line="300" w:lineRule="exact"/>
              <w:ind w:firstLine="280" w:firstLineChars="100"/>
              <w:rPr>
                <w:rFonts w:ascii="宋体" w:hAnsi="宋体"/>
                <w:kern w:val="0"/>
                <w:sz w:val="28"/>
                <w:szCs w:val="28"/>
              </w:rPr>
            </w:pPr>
            <w:r>
              <w:rPr>
                <w:rFonts w:hint="eastAsia" w:ascii="宋体" w:hAnsi="宋体"/>
                <w:kern w:val="0"/>
                <w:sz w:val="28"/>
                <w:szCs w:val="28"/>
              </w:rPr>
              <w:t>化学检验工</w:t>
            </w:r>
          </w:p>
          <w:p>
            <w:pPr>
              <w:widowControl/>
              <w:snapToGrid w:val="0"/>
              <w:spacing w:line="300" w:lineRule="exact"/>
              <w:ind w:firstLine="280" w:firstLineChars="100"/>
              <w:rPr>
                <w:rFonts w:ascii="宋体" w:hAnsi="宋体"/>
                <w:kern w:val="0"/>
                <w:sz w:val="28"/>
                <w:szCs w:val="28"/>
              </w:rPr>
            </w:pPr>
            <w:r>
              <w:rPr>
                <w:rFonts w:hint="eastAsia" w:ascii="宋体" w:hAnsi="宋体"/>
                <w:kern w:val="0"/>
                <w:sz w:val="28"/>
                <w:szCs w:val="28"/>
              </w:rPr>
              <w:t>中级</w:t>
            </w:r>
          </w:p>
          <w:p>
            <w:pPr>
              <w:jc w:val="left"/>
              <w:rPr>
                <w:sz w:val="28"/>
                <w:szCs w:val="28"/>
              </w:rPr>
            </w:pPr>
            <w:r>
              <w:rPr>
                <w:rFonts w:hint="eastAsia" w:ascii="宋体" w:hAnsi="宋体"/>
                <w:kern w:val="0"/>
                <w:sz w:val="28"/>
                <w:szCs w:val="28"/>
              </w:rPr>
              <w:t>（四级）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vAlign w:val="center"/>
          </w:tcPr>
          <w:p>
            <w:pPr>
              <w:jc w:val="center"/>
              <w:rPr>
                <w:rFonts w:ascii="宋体"/>
                <w:sz w:val="24"/>
                <w:szCs w:val="24"/>
              </w:rPr>
            </w:pPr>
          </w:p>
        </w:tc>
        <w:tc>
          <w:tcPr>
            <w:tcW w:w="4050" w:type="dxa"/>
            <w:vAlign w:val="center"/>
          </w:tcPr>
          <w:p>
            <w:pPr>
              <w:jc w:val="center"/>
              <w:rPr>
                <w:color w:val="000000"/>
                <w:kern w:val="0"/>
                <w:sz w:val="28"/>
                <w:szCs w:val="28"/>
              </w:rPr>
            </w:pPr>
            <w:r>
              <w:rPr>
                <w:rFonts w:hint="eastAsia" w:ascii="宋体" w:hAnsi="宋体"/>
                <w:kern w:val="0"/>
                <w:sz w:val="28"/>
                <w:szCs w:val="28"/>
              </w:rPr>
              <w:t>质监检验员</w:t>
            </w:r>
          </w:p>
        </w:tc>
        <w:tc>
          <w:tcPr>
            <w:tcW w:w="2997" w:type="dxa"/>
            <w:vMerge w:val="continue"/>
            <w:vAlign w:val="center"/>
          </w:tcPr>
          <w:p>
            <w:pPr>
              <w:jc w:val="center"/>
              <w:rPr>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vAlign w:val="center"/>
          </w:tcPr>
          <w:p>
            <w:pPr>
              <w:jc w:val="center"/>
              <w:rPr>
                <w:rFonts w:ascii="宋体"/>
                <w:sz w:val="24"/>
                <w:szCs w:val="24"/>
              </w:rPr>
            </w:pPr>
          </w:p>
        </w:tc>
        <w:tc>
          <w:tcPr>
            <w:tcW w:w="4050" w:type="dxa"/>
            <w:vAlign w:val="center"/>
          </w:tcPr>
          <w:p>
            <w:pPr>
              <w:jc w:val="center"/>
              <w:rPr>
                <w:color w:val="000000"/>
                <w:kern w:val="0"/>
                <w:sz w:val="28"/>
                <w:szCs w:val="28"/>
              </w:rPr>
            </w:pPr>
            <w:r>
              <w:rPr>
                <w:rFonts w:hint="eastAsia" w:ascii="宋体" w:hAnsi="宋体"/>
                <w:kern w:val="0"/>
                <w:sz w:val="28"/>
                <w:szCs w:val="28"/>
              </w:rPr>
              <w:t>环境监测员</w:t>
            </w:r>
          </w:p>
        </w:tc>
        <w:tc>
          <w:tcPr>
            <w:tcW w:w="2997" w:type="dxa"/>
            <w:vMerge w:val="continue"/>
            <w:vAlign w:val="center"/>
          </w:tcPr>
          <w:p>
            <w:pPr>
              <w:jc w:val="center"/>
              <w:rPr>
                <w:sz w:val="24"/>
                <w:szCs w:val="24"/>
              </w:rPr>
            </w:pPr>
          </w:p>
        </w:tc>
      </w:tr>
    </w:tbl>
    <w:p>
      <w:pPr>
        <w:spacing w:line="600" w:lineRule="exact"/>
        <w:ind w:firstLine="643" w:firstLineChars="200"/>
        <w:rPr>
          <w:rFonts w:ascii="黑体" w:hAnsi="黑体" w:eastAsia="黑体"/>
          <w:b/>
          <w:sz w:val="32"/>
        </w:rPr>
      </w:pPr>
      <w:r>
        <w:rPr>
          <w:rFonts w:hint="eastAsia" w:ascii="黑体" w:hAnsi="黑体" w:eastAsia="黑体"/>
          <w:b/>
          <w:sz w:val="32"/>
        </w:rPr>
        <w:t>五、培养目标与培养规格</w:t>
      </w:r>
    </w:p>
    <w:p>
      <w:pPr>
        <w:spacing w:line="600" w:lineRule="exact"/>
        <w:ind w:firstLine="627" w:firstLineChars="196"/>
        <w:rPr>
          <w:rFonts w:ascii="仿宋_GB2312" w:hAnsi="宋体"/>
          <w:sz w:val="32"/>
        </w:rPr>
      </w:pPr>
      <w:r>
        <w:rPr>
          <w:rFonts w:hint="eastAsia" w:ascii="仿宋_GB2312" w:hAnsi="宋体"/>
          <w:sz w:val="32"/>
        </w:rPr>
        <w:t>（一）培养目标</w:t>
      </w:r>
    </w:p>
    <w:p>
      <w:pPr>
        <w:spacing w:line="560" w:lineRule="exact"/>
        <w:ind w:firstLine="560" w:firstLineChars="200"/>
        <w:rPr>
          <w:rFonts w:ascii="仿宋_GB2312" w:hAnsi="宋体"/>
          <w:sz w:val="28"/>
          <w:szCs w:val="28"/>
        </w:rPr>
      </w:pPr>
      <w:r>
        <w:rPr>
          <w:rFonts w:hint="eastAsia" w:ascii="仿宋_GB2312" w:hAnsi="宋体"/>
          <w:sz w:val="28"/>
          <w:szCs w:val="28"/>
        </w:rPr>
        <w:t>本专业坚持立德树人，培养热爱中国共产党，热爱祖国，遵纪守法，具有良好道德品质和文明行为习惯，主要面向化工、石油、冶金、轻工、建材、环保、食品等企事业单位，培养与我国社会主义现代化建设要求相适应，德、智、体、美、劳全面发展，在生产、服务第一线从事分析检验工作和化验室的组织管理工作，具有较强实际操作能力的高素质劳动者和技能型人才。他们应当热爱社会主义社国，能够将实现自身价值与服务社会给合起来；具有基本的科学文化素养、继续学习的能力和创新精神；具有良好的职业道德，掌握必要的文化基础知识、专业知识和比较熟练的职业技能，具有较强的就业能力和一定的创业能力；具有健全的体魄，良好的心理素质，适应职业岗位要求，德智体美全面发展的高素质劳动者和技能型人才。</w:t>
      </w:r>
    </w:p>
    <w:p>
      <w:pPr>
        <w:spacing w:line="400" w:lineRule="exact"/>
        <w:ind w:firstLine="640" w:firstLineChars="200"/>
        <w:rPr>
          <w:rFonts w:ascii="仿宋_GB2312" w:hAnsi="宋体"/>
          <w:sz w:val="32"/>
        </w:rPr>
      </w:pPr>
      <w:r>
        <w:rPr>
          <w:rFonts w:hint="eastAsia" w:ascii="仿宋_GB2312" w:hAnsi="宋体"/>
          <w:sz w:val="32"/>
        </w:rPr>
        <w:t>（二）培养规格</w:t>
      </w:r>
    </w:p>
    <w:p>
      <w:pPr>
        <w:spacing w:line="560" w:lineRule="exact"/>
        <w:ind w:firstLine="560" w:firstLineChars="200"/>
        <w:rPr>
          <w:rFonts w:ascii="仿宋_GB2312" w:hAnsi="宋体"/>
          <w:sz w:val="28"/>
          <w:szCs w:val="28"/>
        </w:rPr>
      </w:pPr>
      <w:r>
        <w:rPr>
          <w:rFonts w:hint="eastAsia" w:ascii="仿宋_GB2312" w:hAnsi="宋体"/>
          <w:sz w:val="28"/>
          <w:szCs w:val="28"/>
        </w:rPr>
        <w:t>1.职业素养</w:t>
      </w:r>
    </w:p>
    <w:p>
      <w:pPr>
        <w:spacing w:line="560" w:lineRule="exact"/>
        <w:ind w:firstLine="560" w:firstLineChars="200"/>
        <w:rPr>
          <w:rFonts w:ascii="仿宋_GB2312" w:hAnsi="宋体"/>
          <w:sz w:val="28"/>
          <w:szCs w:val="28"/>
        </w:rPr>
      </w:pPr>
      <w:r>
        <w:rPr>
          <w:rFonts w:hint="eastAsia" w:ascii="仿宋_GB2312" w:hAnsi="宋体"/>
          <w:sz w:val="28"/>
          <w:szCs w:val="28"/>
        </w:rPr>
        <w:t>具有马列主义、毛泽东思想、邓小平理论、习近平新时代中国特色社会主义思想的基础知识；具有热爱人民、热爱党、热爱社会主义祖国、热爱劳动、热爱科学的思想觉悟；掌握体育的基本知识和技能，坚持体育锻炼，促进身心正常发展，了解卫生、保健知识，养成良好的体育锻炼和卫生习惯，具有健康的体魄和良好的心理素质。具有良好的敬业精神、职业道德和团队精神；具有基本的法律常识。</w:t>
      </w:r>
    </w:p>
    <w:p>
      <w:pPr>
        <w:spacing w:line="560" w:lineRule="exact"/>
        <w:ind w:firstLine="560" w:firstLineChars="200"/>
        <w:rPr>
          <w:rFonts w:ascii="仿宋_GB2312" w:hAnsi="宋体"/>
          <w:sz w:val="28"/>
          <w:szCs w:val="28"/>
        </w:rPr>
      </w:pPr>
      <w:r>
        <w:rPr>
          <w:rFonts w:hint="eastAsia" w:ascii="仿宋_GB2312" w:hAnsi="宋体"/>
          <w:sz w:val="28"/>
          <w:szCs w:val="28"/>
        </w:rPr>
        <w:t>具有基本的科学文化素质，掌握本专业(工种)所必需的文化基础知识和基本技能，形成一定的科学精神和创业意识；具有收集和处理信息的能力、语言文字表达能力以及分析和解决问题的能力，为学生今后自主学习、终身学习打下基础。</w:t>
      </w:r>
    </w:p>
    <w:p>
      <w:pPr>
        <w:spacing w:line="560" w:lineRule="exact"/>
        <w:ind w:firstLine="560" w:firstLineChars="200"/>
        <w:rPr>
          <w:rFonts w:ascii="仿宋_GB2312" w:hAnsi="宋体"/>
          <w:sz w:val="28"/>
          <w:szCs w:val="28"/>
        </w:rPr>
      </w:pPr>
      <w:r>
        <w:rPr>
          <w:rFonts w:hint="eastAsia" w:ascii="仿宋_GB2312" w:hAnsi="宋体"/>
          <w:sz w:val="28"/>
          <w:szCs w:val="28"/>
        </w:rPr>
        <w:t>2.专业知识和技能</w:t>
      </w:r>
    </w:p>
    <w:p>
      <w:pPr>
        <w:spacing w:line="560" w:lineRule="exact"/>
        <w:ind w:firstLine="560" w:firstLineChars="200"/>
        <w:rPr>
          <w:rFonts w:ascii="仿宋_GB2312" w:hAnsi="宋体"/>
          <w:sz w:val="28"/>
          <w:szCs w:val="28"/>
        </w:rPr>
      </w:pPr>
      <w:r>
        <w:rPr>
          <w:rFonts w:hint="eastAsia" w:ascii="仿宋_GB2312" w:hAnsi="宋体"/>
          <w:sz w:val="28"/>
          <w:szCs w:val="28"/>
        </w:rPr>
        <w:t>具有较扎实的文化基础知识，树立安全、节能、环保意识，掌握一定的化学分析和仪器分析的基本理论，并能运用所学知识分析和解决一般问题的能力；较熟练地掌握常用的化学分析和仪器分析操作技能；能正确选择和使用分析中常用的化学试剂；会使用常见分析仪器；能正确处理实验数据；对于日常分析工作中出现的异常现象能找出原因，提出改进方法；初步具有选择分析方法的能力；具有一定的实验室管理能力；能阅读本专业的技术资料；能正确理解和执行本专业的各类标准；具有初步的计算机操作及应用能力。操作技能应达到中级技术工人的水平。通过理论学习和生产实践，培养劳模精神、劳动精神和工匠精神。</w:t>
      </w:r>
    </w:p>
    <w:p>
      <w:pPr>
        <w:spacing w:line="600" w:lineRule="exact"/>
        <w:ind w:firstLine="640" w:firstLineChars="200"/>
        <w:rPr>
          <w:rFonts w:ascii="黑体" w:hAnsi="黑体" w:eastAsia="黑体"/>
          <w:sz w:val="32"/>
        </w:rPr>
      </w:pPr>
      <w:r>
        <w:rPr>
          <w:rFonts w:hint="eastAsia" w:ascii="黑体" w:hAnsi="黑体" w:eastAsia="黑体"/>
          <w:sz w:val="32"/>
        </w:rPr>
        <w:t>六、课程设置及要求</w:t>
      </w:r>
    </w:p>
    <w:p>
      <w:pPr>
        <w:adjustRightInd w:val="0"/>
        <w:snapToGrid w:val="0"/>
        <w:spacing w:line="600" w:lineRule="exact"/>
        <w:ind w:firstLine="560" w:firstLineChars="200"/>
        <w:rPr>
          <w:bCs/>
          <w:color w:val="000000"/>
          <w:sz w:val="32"/>
        </w:rPr>
      </w:pPr>
      <w:r>
        <w:rPr>
          <w:bCs/>
          <w:color w:val="000000"/>
          <w:sz w:val="28"/>
          <w:szCs w:val="28"/>
        </w:rPr>
        <w:t>本专业课程设置分为</w:t>
      </w:r>
      <w:r>
        <w:rPr>
          <w:rFonts w:hint="eastAsia"/>
          <w:bCs/>
          <w:color w:val="000000"/>
          <w:sz w:val="28"/>
          <w:szCs w:val="28"/>
        </w:rPr>
        <w:t>公共</w:t>
      </w:r>
      <w:r>
        <w:rPr>
          <w:bCs/>
          <w:color w:val="000000"/>
          <w:sz w:val="28"/>
          <w:szCs w:val="28"/>
        </w:rPr>
        <w:t>基础课</w:t>
      </w:r>
      <w:r>
        <w:rPr>
          <w:rFonts w:hint="eastAsia"/>
          <w:bCs/>
          <w:color w:val="000000"/>
          <w:sz w:val="28"/>
          <w:szCs w:val="28"/>
        </w:rPr>
        <w:t>、专业基础课、专业技能课或一体化课程</w:t>
      </w:r>
      <w:r>
        <w:rPr>
          <w:bCs/>
          <w:color w:val="000000"/>
          <w:sz w:val="28"/>
          <w:szCs w:val="28"/>
        </w:rPr>
        <w:t>。</w:t>
      </w:r>
    </w:p>
    <w:p>
      <w:pPr>
        <w:numPr>
          <w:ilvl w:val="0"/>
          <w:numId w:val="1"/>
        </w:numPr>
        <w:adjustRightInd w:val="0"/>
        <w:snapToGrid w:val="0"/>
        <w:spacing w:line="600" w:lineRule="exact"/>
        <w:ind w:firstLine="627" w:firstLineChars="196"/>
        <w:outlineLvl w:val="0"/>
        <w:rPr>
          <w:rFonts w:ascii="仿宋_GB2312" w:hAnsi="黑体"/>
          <w:color w:val="000000"/>
          <w:sz w:val="32"/>
        </w:rPr>
      </w:pPr>
      <w:r>
        <w:rPr>
          <w:rFonts w:hint="eastAsia" w:ascii="仿宋_GB2312" w:hAnsi="黑体"/>
          <w:color w:val="000000"/>
          <w:sz w:val="32"/>
        </w:rPr>
        <w:t>公共基础课</w:t>
      </w:r>
    </w:p>
    <w:p>
      <w:pPr>
        <w:pStyle w:val="17"/>
        <w:spacing w:line="440" w:lineRule="exact"/>
        <w:ind w:firstLine="560" w:firstLineChars="200"/>
        <w:rPr>
          <w:rFonts w:ascii="仿宋_GB2312"/>
          <w:color w:val="000000"/>
          <w:sz w:val="28"/>
          <w:szCs w:val="28"/>
        </w:rPr>
      </w:pPr>
      <w:r>
        <w:rPr>
          <w:rFonts w:hint="eastAsia" w:ascii="仿宋_GB2312" w:hAnsi="宋体"/>
          <w:b w:val="0"/>
          <w:sz w:val="28"/>
          <w:szCs w:val="28"/>
        </w:rPr>
        <w:t>本专业公共基础课设置采用人力资源和社会保障部《技工院校公共课设置方案》，必修课程包括德育、语文、数学、历史、英语、计算机基础与应用、体育与健康、劳动教育等。</w:t>
      </w:r>
    </w:p>
    <w:tbl>
      <w:tblPr>
        <w:tblStyle w:val="7"/>
        <w:tblW w:w="920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5"/>
        <w:gridCol w:w="576"/>
        <w:gridCol w:w="945"/>
        <w:gridCol w:w="2278"/>
        <w:gridCol w:w="1592"/>
        <w:gridCol w:w="2550"/>
        <w:gridCol w:w="8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405" w:type="dxa"/>
            <w:tcBorders>
              <w:top w:val="single" w:color="auto" w:sz="12" w:space="0"/>
            </w:tcBorders>
            <w:shd w:val="clear" w:color="auto" w:fill="E6E6E6"/>
            <w:vAlign w:val="center"/>
          </w:tcPr>
          <w:p>
            <w:pPr>
              <w:jc w:val="center"/>
              <w:rPr>
                <w:b/>
                <w:sz w:val="24"/>
                <w:szCs w:val="24"/>
              </w:rPr>
            </w:pPr>
            <w:r>
              <w:rPr>
                <w:b/>
                <w:sz w:val="24"/>
                <w:szCs w:val="24"/>
              </w:rPr>
              <w:t>序号</w:t>
            </w:r>
          </w:p>
        </w:tc>
        <w:tc>
          <w:tcPr>
            <w:tcW w:w="1521" w:type="dxa"/>
            <w:gridSpan w:val="2"/>
            <w:tcBorders>
              <w:top w:val="single" w:color="auto" w:sz="12" w:space="0"/>
            </w:tcBorders>
            <w:shd w:val="clear" w:color="auto" w:fill="E6E6E6"/>
            <w:vAlign w:val="center"/>
          </w:tcPr>
          <w:p>
            <w:pPr>
              <w:jc w:val="center"/>
              <w:rPr>
                <w:b/>
                <w:sz w:val="24"/>
                <w:szCs w:val="24"/>
              </w:rPr>
            </w:pPr>
            <w:r>
              <w:rPr>
                <w:b/>
                <w:sz w:val="24"/>
                <w:szCs w:val="24"/>
              </w:rPr>
              <w:t>课程名称</w:t>
            </w:r>
          </w:p>
        </w:tc>
        <w:tc>
          <w:tcPr>
            <w:tcW w:w="2278" w:type="dxa"/>
            <w:tcBorders>
              <w:top w:val="single" w:color="auto" w:sz="12" w:space="0"/>
            </w:tcBorders>
            <w:shd w:val="clear" w:color="auto" w:fill="E6E6E6"/>
            <w:vAlign w:val="center"/>
          </w:tcPr>
          <w:p>
            <w:pPr>
              <w:jc w:val="center"/>
              <w:rPr>
                <w:b/>
                <w:sz w:val="24"/>
                <w:szCs w:val="24"/>
              </w:rPr>
            </w:pPr>
            <w:r>
              <w:rPr>
                <w:rFonts w:hint="eastAsia"/>
                <w:b/>
                <w:sz w:val="24"/>
                <w:szCs w:val="24"/>
              </w:rPr>
              <w:t>教学目标</w:t>
            </w:r>
          </w:p>
        </w:tc>
        <w:tc>
          <w:tcPr>
            <w:tcW w:w="1592" w:type="dxa"/>
            <w:tcBorders>
              <w:top w:val="single" w:color="auto" w:sz="12" w:space="0"/>
            </w:tcBorders>
            <w:shd w:val="clear" w:color="auto" w:fill="E6E6E6"/>
            <w:vAlign w:val="center"/>
          </w:tcPr>
          <w:p>
            <w:pPr>
              <w:jc w:val="center"/>
              <w:rPr>
                <w:b/>
                <w:sz w:val="24"/>
                <w:szCs w:val="24"/>
              </w:rPr>
            </w:pPr>
            <w:r>
              <w:rPr>
                <w:rFonts w:hint="eastAsia"/>
                <w:b/>
                <w:sz w:val="24"/>
                <w:szCs w:val="24"/>
              </w:rPr>
              <w:t>主要教学内容</w:t>
            </w:r>
          </w:p>
        </w:tc>
        <w:tc>
          <w:tcPr>
            <w:tcW w:w="2550" w:type="dxa"/>
            <w:tcBorders>
              <w:top w:val="single" w:color="auto" w:sz="12" w:space="0"/>
            </w:tcBorders>
            <w:shd w:val="clear" w:color="auto" w:fill="E6E6E6"/>
            <w:vAlign w:val="center"/>
          </w:tcPr>
          <w:p>
            <w:pPr>
              <w:jc w:val="center"/>
              <w:rPr>
                <w:b/>
                <w:sz w:val="24"/>
                <w:szCs w:val="24"/>
              </w:rPr>
            </w:pPr>
            <w:r>
              <w:rPr>
                <w:rFonts w:hint="eastAsia"/>
                <w:b/>
                <w:sz w:val="24"/>
                <w:szCs w:val="24"/>
              </w:rPr>
              <w:t>教学要求与建议</w:t>
            </w:r>
          </w:p>
        </w:tc>
        <w:tc>
          <w:tcPr>
            <w:tcW w:w="855" w:type="dxa"/>
            <w:tcBorders>
              <w:top w:val="single" w:color="auto" w:sz="12" w:space="0"/>
            </w:tcBorders>
            <w:shd w:val="clear" w:color="auto" w:fill="E6E6E6"/>
            <w:vAlign w:val="center"/>
          </w:tcPr>
          <w:p>
            <w:pPr>
              <w:jc w:val="center"/>
              <w:rPr>
                <w:b/>
                <w:sz w:val="24"/>
                <w:szCs w:val="24"/>
              </w:rPr>
            </w:pPr>
            <w:r>
              <w:rPr>
                <w:b/>
                <w:sz w:val="24"/>
                <w:szCs w:val="24"/>
              </w:rPr>
              <w:t>参考</w:t>
            </w:r>
          </w:p>
          <w:p>
            <w:pPr>
              <w:jc w:val="center"/>
              <w:rPr>
                <w:b/>
                <w:sz w:val="24"/>
                <w:szCs w:val="24"/>
              </w:rPr>
            </w:pPr>
            <w:r>
              <w:rPr>
                <w:b/>
                <w:sz w:val="24"/>
                <w:szCs w:val="24"/>
              </w:rPr>
              <w:t>学时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4" w:hRule="exact"/>
          <w:jc w:val="center"/>
        </w:trPr>
        <w:tc>
          <w:tcPr>
            <w:tcW w:w="405" w:type="dxa"/>
            <w:vMerge w:val="restart"/>
            <w:vAlign w:val="center"/>
          </w:tcPr>
          <w:p>
            <w:pPr>
              <w:jc w:val="center"/>
              <w:rPr>
                <w:sz w:val="24"/>
                <w:szCs w:val="24"/>
              </w:rPr>
            </w:pPr>
            <w:r>
              <w:rPr>
                <w:rFonts w:hint="eastAsia"/>
                <w:sz w:val="24"/>
                <w:szCs w:val="24"/>
              </w:rPr>
              <w:t>1</w:t>
            </w:r>
          </w:p>
        </w:tc>
        <w:tc>
          <w:tcPr>
            <w:tcW w:w="576" w:type="dxa"/>
            <w:vMerge w:val="restart"/>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德育</w:t>
            </w:r>
          </w:p>
        </w:tc>
        <w:tc>
          <w:tcPr>
            <w:tcW w:w="945"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道德法律与人生</w:t>
            </w:r>
          </w:p>
        </w:tc>
        <w:tc>
          <w:tcPr>
            <w:tcW w:w="2278" w:type="dxa"/>
            <w:vAlign w:val="center"/>
          </w:tcPr>
          <w:p>
            <w:pPr>
              <w:spacing w:line="280" w:lineRule="exact"/>
              <w:ind w:firstLine="210" w:firstLineChars="100"/>
              <w:jc w:val="left"/>
              <w:rPr>
                <w:rFonts w:ascii="仿宋" w:hAnsi="仿宋" w:eastAsia="仿宋" w:cs="仿宋"/>
                <w:sz w:val="21"/>
                <w:szCs w:val="21"/>
              </w:rPr>
            </w:pPr>
            <w:r>
              <w:rPr>
                <w:rFonts w:hint="eastAsia" w:ascii="仿宋" w:hAnsi="仿宋" w:eastAsia="仿宋" w:cs="仿宋"/>
                <w:color w:val="000000"/>
                <w:sz w:val="21"/>
                <w:szCs w:val="21"/>
              </w:rPr>
              <w:t>了解和认识职业和专业，增强学习改变命运，技能成才的理念，</w:t>
            </w:r>
            <w:r>
              <w:rPr>
                <w:rFonts w:hint="eastAsia" w:ascii="仿宋" w:hAnsi="仿宋" w:eastAsia="仿宋" w:cs="仿宋"/>
                <w:kern w:val="0"/>
                <w:sz w:val="21"/>
                <w:szCs w:val="21"/>
              </w:rPr>
              <w:t>培养爱岗敬业、精益求精的工匠精神。</w:t>
            </w:r>
          </w:p>
        </w:tc>
        <w:tc>
          <w:tcPr>
            <w:tcW w:w="1592" w:type="dxa"/>
            <w:vAlign w:val="center"/>
          </w:tcPr>
          <w:p>
            <w:pPr>
              <w:spacing w:line="280" w:lineRule="exact"/>
              <w:ind w:firstLine="210" w:firstLineChars="100"/>
              <w:jc w:val="left"/>
              <w:rPr>
                <w:rFonts w:ascii="仿宋" w:hAnsi="仿宋" w:eastAsia="仿宋" w:cs="仿宋"/>
                <w:sz w:val="21"/>
                <w:szCs w:val="21"/>
              </w:rPr>
            </w:pPr>
            <w:r>
              <w:rPr>
                <w:rFonts w:hint="eastAsia" w:ascii="仿宋" w:hAnsi="仿宋" w:eastAsia="仿宋" w:cs="仿宋"/>
                <w:kern w:val="0"/>
                <w:sz w:val="21"/>
                <w:szCs w:val="21"/>
              </w:rPr>
              <w:t>职业伴随人生、学习改变命运、加强道德修养，抵制不良侵袭、提高法律意识、预防违法犯罪。</w:t>
            </w:r>
          </w:p>
        </w:tc>
        <w:tc>
          <w:tcPr>
            <w:tcW w:w="2550" w:type="dxa"/>
            <w:vAlign w:val="center"/>
          </w:tcPr>
          <w:p>
            <w:pPr>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采取合作课堂的形式，提倡教学方法和手段的多样化，创设各种教学活动，如角色扮演、案例分析、心理游戏、情景模拟、小组讨论、游戏等，有的放矢展开教学，提升学生的综合素质。</w:t>
            </w:r>
          </w:p>
          <w:p>
            <w:pPr>
              <w:spacing w:line="280" w:lineRule="exact"/>
              <w:ind w:firstLine="210" w:firstLineChars="100"/>
              <w:jc w:val="left"/>
              <w:rPr>
                <w:rFonts w:ascii="仿宋" w:hAnsi="仿宋" w:eastAsia="仿宋" w:cs="仿宋"/>
                <w:sz w:val="21"/>
                <w:szCs w:val="21"/>
              </w:rPr>
            </w:pPr>
            <w:r>
              <w:rPr>
                <w:rFonts w:hint="eastAsia" w:ascii="仿宋" w:hAnsi="仿宋" w:eastAsia="仿宋" w:cs="仿宋"/>
                <w:kern w:val="0"/>
                <w:sz w:val="21"/>
                <w:szCs w:val="21"/>
              </w:rPr>
              <w:t>注：该教学内容安排在一年级第一学期。</w:t>
            </w:r>
          </w:p>
        </w:tc>
        <w:tc>
          <w:tcPr>
            <w:tcW w:w="855"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69" w:hRule="exact"/>
          <w:jc w:val="center"/>
        </w:trPr>
        <w:tc>
          <w:tcPr>
            <w:tcW w:w="405" w:type="dxa"/>
            <w:vMerge w:val="continue"/>
            <w:vAlign w:val="center"/>
          </w:tcPr>
          <w:p>
            <w:pPr>
              <w:jc w:val="center"/>
              <w:rPr>
                <w:sz w:val="24"/>
                <w:szCs w:val="24"/>
              </w:rPr>
            </w:pPr>
          </w:p>
        </w:tc>
        <w:tc>
          <w:tcPr>
            <w:tcW w:w="576" w:type="dxa"/>
            <w:vMerge w:val="continue"/>
            <w:vAlign w:val="center"/>
          </w:tcPr>
          <w:p>
            <w:pPr>
              <w:spacing w:line="280" w:lineRule="exact"/>
              <w:jc w:val="center"/>
              <w:rPr>
                <w:rFonts w:ascii="仿宋" w:hAnsi="仿宋" w:eastAsia="仿宋" w:cs="仿宋"/>
                <w:sz w:val="21"/>
                <w:szCs w:val="21"/>
              </w:rPr>
            </w:pPr>
          </w:p>
        </w:tc>
        <w:tc>
          <w:tcPr>
            <w:tcW w:w="945" w:type="dxa"/>
            <w:vAlign w:val="center"/>
          </w:tcPr>
          <w:p>
            <w:pPr>
              <w:spacing w:line="280" w:lineRule="exact"/>
              <w:jc w:val="center"/>
              <w:rPr>
                <w:rFonts w:ascii="仿宋" w:hAnsi="仿宋" w:eastAsia="仿宋" w:cs="仿宋"/>
                <w:sz w:val="21"/>
                <w:szCs w:val="21"/>
              </w:rPr>
            </w:pPr>
            <w:r>
              <w:rPr>
                <w:rFonts w:hint="eastAsia" w:ascii="仿宋" w:hAnsi="仿宋" w:eastAsia="仿宋" w:cs="仿宋"/>
                <w:kern w:val="0"/>
                <w:sz w:val="21"/>
                <w:szCs w:val="21"/>
              </w:rPr>
              <w:t>职业生涯规划；经济与政治常识</w:t>
            </w:r>
          </w:p>
        </w:tc>
        <w:tc>
          <w:tcPr>
            <w:tcW w:w="2278" w:type="dxa"/>
            <w:vAlign w:val="center"/>
          </w:tcPr>
          <w:p>
            <w:pPr>
              <w:widowControl/>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1.从职业角度认识自己，展示自己。</w:t>
            </w:r>
          </w:p>
          <w:p>
            <w:pPr>
              <w:spacing w:line="280" w:lineRule="exact"/>
              <w:rPr>
                <w:rFonts w:ascii="仿宋" w:hAnsi="仿宋" w:eastAsia="仿宋" w:cs="仿宋"/>
                <w:kern w:val="0"/>
                <w:sz w:val="21"/>
                <w:szCs w:val="21"/>
              </w:rPr>
            </w:pPr>
            <w:r>
              <w:rPr>
                <w:rFonts w:hint="eastAsia" w:ascii="仿宋" w:hAnsi="仿宋" w:eastAsia="仿宋" w:cs="仿宋"/>
                <w:kern w:val="0"/>
                <w:sz w:val="21"/>
                <w:szCs w:val="21"/>
              </w:rPr>
              <w:t>2.进行职业环境分析，确定职业目标，做出合理的职业决策，学会撰写自己初步的职业生涯规划书。</w:t>
            </w:r>
          </w:p>
          <w:p>
            <w:pPr>
              <w:spacing w:line="280" w:lineRule="exact"/>
              <w:rPr>
                <w:rFonts w:ascii="仿宋" w:hAnsi="仿宋" w:eastAsia="仿宋" w:cs="仿宋"/>
                <w:kern w:val="0"/>
                <w:sz w:val="21"/>
                <w:szCs w:val="21"/>
              </w:rPr>
            </w:pPr>
            <w:r>
              <w:rPr>
                <w:rFonts w:hint="eastAsia" w:ascii="仿宋" w:hAnsi="仿宋" w:eastAsia="仿宋" w:cs="仿宋"/>
                <w:kern w:val="0"/>
                <w:sz w:val="21"/>
                <w:szCs w:val="21"/>
              </w:rPr>
              <w:t>3.初步了解市场经济，树立科学合理的消费观。</w:t>
            </w:r>
          </w:p>
          <w:p>
            <w:pPr>
              <w:spacing w:line="280" w:lineRule="exact"/>
              <w:rPr>
                <w:rFonts w:ascii="仿宋" w:hAnsi="仿宋" w:eastAsia="仿宋" w:cs="仿宋"/>
                <w:sz w:val="21"/>
                <w:szCs w:val="21"/>
              </w:rPr>
            </w:pPr>
            <w:r>
              <w:rPr>
                <w:rFonts w:hint="eastAsia" w:ascii="仿宋" w:hAnsi="仿宋" w:eastAsia="仿宋" w:cs="仿宋"/>
                <w:kern w:val="0"/>
                <w:sz w:val="21"/>
                <w:szCs w:val="21"/>
              </w:rPr>
              <w:t>4.培养正确的人生观、价值观和事业观。</w:t>
            </w:r>
          </w:p>
        </w:tc>
        <w:tc>
          <w:tcPr>
            <w:tcW w:w="1592" w:type="dxa"/>
            <w:vAlign w:val="center"/>
          </w:tcPr>
          <w:p>
            <w:pPr>
              <w:spacing w:line="280" w:lineRule="exact"/>
              <w:rPr>
                <w:rFonts w:ascii="仿宋" w:hAnsi="仿宋" w:eastAsia="仿宋" w:cs="仿宋"/>
                <w:sz w:val="21"/>
                <w:szCs w:val="21"/>
              </w:rPr>
            </w:pPr>
            <w:r>
              <w:rPr>
                <w:rFonts w:hint="eastAsia" w:ascii="仿宋" w:hAnsi="仿宋" w:eastAsia="仿宋" w:cs="仿宋"/>
                <w:sz w:val="21"/>
                <w:szCs w:val="21"/>
              </w:rPr>
              <w:t>1.职业生涯规划与职业理想、职业生涯规划条件与机遇、职业生涯规划目标与措施、制定你的职业生涯规划书。</w:t>
            </w:r>
          </w:p>
          <w:p>
            <w:pPr>
              <w:spacing w:line="280" w:lineRule="exact"/>
              <w:rPr>
                <w:rFonts w:ascii="仿宋" w:hAnsi="仿宋" w:eastAsia="仿宋" w:cs="仿宋"/>
                <w:sz w:val="21"/>
                <w:szCs w:val="21"/>
              </w:rPr>
            </w:pPr>
            <w:r>
              <w:rPr>
                <w:rFonts w:hint="eastAsia" w:ascii="仿宋" w:hAnsi="仿宋" w:eastAsia="仿宋" w:cs="仿宋"/>
                <w:sz w:val="21"/>
                <w:szCs w:val="21"/>
              </w:rPr>
              <w:t>2.学会理财和消费、 商品价格的奥妙、市场经济与个人投资。</w:t>
            </w:r>
          </w:p>
        </w:tc>
        <w:tc>
          <w:tcPr>
            <w:tcW w:w="2550" w:type="dxa"/>
            <w:vAlign w:val="center"/>
          </w:tcPr>
          <w:p>
            <w:pPr>
              <w:spacing w:line="280" w:lineRule="exact"/>
              <w:rPr>
                <w:rFonts w:ascii="仿宋" w:hAnsi="仿宋" w:eastAsia="仿宋" w:cs="仿宋"/>
                <w:kern w:val="0"/>
                <w:sz w:val="21"/>
                <w:szCs w:val="21"/>
              </w:rPr>
            </w:pPr>
            <w:r>
              <w:rPr>
                <w:rFonts w:hint="eastAsia" w:ascii="仿宋" w:hAnsi="仿宋" w:eastAsia="仿宋" w:cs="仿宋"/>
                <w:kern w:val="0"/>
                <w:sz w:val="21"/>
                <w:szCs w:val="21"/>
              </w:rPr>
              <w:t>提倡教学方法和手段的多样化，创设各种教学活动，如角色扮演、案例分析、心理游戏、情景模拟、小组讨论、游戏等，有的放矢展开教学，提升学生的综合素质。</w:t>
            </w:r>
          </w:p>
          <w:p>
            <w:pPr>
              <w:spacing w:line="280" w:lineRule="exact"/>
              <w:rPr>
                <w:rFonts w:ascii="仿宋" w:hAnsi="仿宋" w:eastAsia="仿宋" w:cs="仿宋"/>
                <w:sz w:val="21"/>
                <w:szCs w:val="21"/>
              </w:rPr>
            </w:pPr>
            <w:r>
              <w:rPr>
                <w:rFonts w:hint="eastAsia" w:ascii="仿宋" w:hAnsi="仿宋" w:eastAsia="仿宋" w:cs="仿宋"/>
                <w:kern w:val="0"/>
                <w:sz w:val="21"/>
                <w:szCs w:val="21"/>
              </w:rPr>
              <w:t>注：该教学内容安排在一年级第二学期。</w:t>
            </w:r>
          </w:p>
        </w:tc>
        <w:tc>
          <w:tcPr>
            <w:tcW w:w="855"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4" w:hRule="exact"/>
          <w:jc w:val="center"/>
        </w:trPr>
        <w:tc>
          <w:tcPr>
            <w:tcW w:w="405" w:type="dxa"/>
            <w:vMerge w:val="continue"/>
            <w:vAlign w:val="center"/>
          </w:tcPr>
          <w:p>
            <w:pPr>
              <w:jc w:val="center"/>
              <w:rPr>
                <w:sz w:val="24"/>
                <w:szCs w:val="24"/>
              </w:rPr>
            </w:pPr>
          </w:p>
        </w:tc>
        <w:tc>
          <w:tcPr>
            <w:tcW w:w="576" w:type="dxa"/>
            <w:vMerge w:val="continue"/>
            <w:vAlign w:val="center"/>
          </w:tcPr>
          <w:p>
            <w:pPr>
              <w:jc w:val="center"/>
              <w:rPr>
                <w:rFonts w:ascii="仿宋" w:hAnsi="仿宋" w:eastAsia="仿宋" w:cs="仿宋"/>
                <w:sz w:val="21"/>
                <w:szCs w:val="21"/>
              </w:rPr>
            </w:pPr>
          </w:p>
        </w:tc>
        <w:tc>
          <w:tcPr>
            <w:tcW w:w="945" w:type="dxa"/>
            <w:vAlign w:val="center"/>
          </w:tcPr>
          <w:p>
            <w:pPr>
              <w:spacing w:line="400" w:lineRule="exact"/>
              <w:jc w:val="center"/>
              <w:rPr>
                <w:rFonts w:ascii="仿宋" w:hAnsi="仿宋" w:eastAsia="仿宋" w:cs="仿宋"/>
                <w:sz w:val="21"/>
                <w:szCs w:val="21"/>
              </w:rPr>
            </w:pPr>
            <w:r>
              <w:rPr>
                <w:rFonts w:hint="eastAsia" w:ascii="仿宋" w:hAnsi="仿宋" w:eastAsia="仿宋" w:cs="仿宋"/>
                <w:kern w:val="0"/>
                <w:sz w:val="21"/>
                <w:szCs w:val="21"/>
              </w:rPr>
              <w:t>职业道德与职业指导</w:t>
            </w:r>
          </w:p>
        </w:tc>
        <w:tc>
          <w:tcPr>
            <w:tcW w:w="2278" w:type="dxa"/>
            <w:vAlign w:val="center"/>
          </w:tcPr>
          <w:p>
            <w:pPr>
              <w:widowControl/>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了解职业道德的基本规范，职业道德行为，增强职业道德意识，养成职业道德行为习惯；指导学生掌握与日常生活和职业活动密切相关的法律常识，树立法治观念，增强法律意识，成为懂法、守法、用法的公民。</w:t>
            </w:r>
          </w:p>
        </w:tc>
        <w:tc>
          <w:tcPr>
            <w:tcW w:w="1592" w:type="dxa"/>
            <w:vAlign w:val="center"/>
          </w:tcPr>
          <w:p>
            <w:pPr>
              <w:widowControl/>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工匠精神培育、职业道德是从业之本、职业道德规范、职业道德行为、企业中的职业、企业员工的职业化、职业的法律保障。</w:t>
            </w:r>
          </w:p>
          <w:p>
            <w:pPr>
              <w:widowControl/>
              <w:spacing w:line="280" w:lineRule="exact"/>
              <w:jc w:val="left"/>
              <w:rPr>
                <w:rFonts w:ascii="仿宋" w:hAnsi="仿宋" w:eastAsia="仿宋" w:cs="仿宋"/>
                <w:kern w:val="0"/>
                <w:sz w:val="21"/>
                <w:szCs w:val="21"/>
              </w:rPr>
            </w:pPr>
          </w:p>
        </w:tc>
        <w:tc>
          <w:tcPr>
            <w:tcW w:w="2550" w:type="dxa"/>
            <w:vAlign w:val="center"/>
          </w:tcPr>
          <w:p>
            <w:pPr>
              <w:widowControl/>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提倡教学方法和手段的多样化，创设各种教学活动，如角色扮演、案例分析、心理游戏、情景模拟、小组讨论、游戏等，有的放矢展开教学，提升学生的综合素质。</w:t>
            </w:r>
          </w:p>
          <w:p>
            <w:pPr>
              <w:widowControl/>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 xml:space="preserve">注：该教学内容安排在二年级第一学期。  </w:t>
            </w:r>
          </w:p>
        </w:tc>
        <w:tc>
          <w:tcPr>
            <w:tcW w:w="855" w:type="dxa"/>
            <w:vAlign w:val="center"/>
          </w:tcPr>
          <w:p>
            <w:pPr>
              <w:widowControl/>
              <w:spacing w:line="280" w:lineRule="exact"/>
              <w:jc w:val="center"/>
              <w:rPr>
                <w:rFonts w:ascii="仿宋" w:hAnsi="仿宋" w:eastAsia="仿宋" w:cs="仿宋"/>
                <w:kern w:val="0"/>
                <w:sz w:val="21"/>
                <w:szCs w:val="21"/>
              </w:rPr>
            </w:pPr>
            <w:r>
              <w:rPr>
                <w:rFonts w:hint="eastAsia" w:ascii="仿宋" w:hAnsi="仿宋" w:eastAsia="仿宋" w:cs="仿宋"/>
                <w:kern w:val="0"/>
                <w:sz w:val="21"/>
                <w:szCs w:val="21"/>
              </w:rPr>
              <w:t>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9" w:hRule="exact"/>
          <w:jc w:val="center"/>
        </w:trPr>
        <w:tc>
          <w:tcPr>
            <w:tcW w:w="405" w:type="dxa"/>
            <w:vMerge w:val="continue"/>
            <w:vAlign w:val="center"/>
          </w:tcPr>
          <w:p>
            <w:pPr>
              <w:jc w:val="center"/>
              <w:rPr>
                <w:sz w:val="24"/>
                <w:szCs w:val="24"/>
              </w:rPr>
            </w:pPr>
          </w:p>
        </w:tc>
        <w:tc>
          <w:tcPr>
            <w:tcW w:w="576" w:type="dxa"/>
            <w:vMerge w:val="continue"/>
            <w:vAlign w:val="center"/>
          </w:tcPr>
          <w:p>
            <w:pPr>
              <w:jc w:val="center"/>
              <w:rPr>
                <w:rFonts w:ascii="仿宋" w:hAnsi="仿宋" w:eastAsia="仿宋" w:cs="仿宋"/>
                <w:sz w:val="21"/>
                <w:szCs w:val="21"/>
              </w:rPr>
            </w:pPr>
          </w:p>
        </w:tc>
        <w:tc>
          <w:tcPr>
            <w:tcW w:w="945" w:type="dxa"/>
            <w:vAlign w:val="center"/>
          </w:tcPr>
          <w:p>
            <w:pPr>
              <w:spacing w:line="28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工匠精神、中国特色社会主义、“四史”学习、爱国主义等</w:t>
            </w:r>
          </w:p>
        </w:tc>
        <w:tc>
          <w:tcPr>
            <w:tcW w:w="2278" w:type="dxa"/>
            <w:vAlign w:val="center"/>
          </w:tcPr>
          <w:p>
            <w:pPr>
              <w:widowControl/>
              <w:spacing w:line="280" w:lineRule="exact"/>
              <w:jc w:val="left"/>
              <w:rPr>
                <w:rFonts w:ascii="仿宋" w:hAnsi="仿宋" w:eastAsia="仿宋" w:cs="仿宋"/>
                <w:color w:val="000000" w:themeColor="text1"/>
                <w:kern w:val="0"/>
                <w:sz w:val="21"/>
                <w:szCs w:val="21"/>
                <w:lang w:bidi="ar"/>
                <w14:textFill>
                  <w14:solidFill>
                    <w14:schemeClr w14:val="tx1"/>
                  </w14:solidFill>
                </w14:textFill>
              </w:rPr>
            </w:pPr>
            <w:r>
              <w:rPr>
                <w:rFonts w:hint="eastAsia" w:ascii="仿宋" w:hAnsi="仿宋" w:eastAsia="仿宋" w:cs="仿宋"/>
                <w:color w:val="000000" w:themeColor="text1"/>
                <w:kern w:val="0"/>
                <w:sz w:val="21"/>
                <w:szCs w:val="21"/>
                <w:lang w:bidi="ar"/>
                <w14:textFill>
                  <w14:solidFill>
                    <w14:schemeClr w14:val="tx1"/>
                  </w14:solidFill>
                </w14:textFill>
              </w:rPr>
              <w:t>引导学生感受工匠精神等优秀职业素质的魅力，培养精益求精、专注敬业、守正创新的职业精神，培养学生的爱国情怀，引导学生积极传承和弘扬红色精神。同时树立职业生涯的规划意识，培养自信，树立为人民服务的意识，培养对职业的向往和兴趣，感受社会大思政的魅力，做红色基因的传承和践行者。</w:t>
            </w:r>
          </w:p>
          <w:p>
            <w:pPr>
              <w:widowControl/>
              <w:spacing w:line="280" w:lineRule="exact"/>
              <w:jc w:val="left"/>
              <w:rPr>
                <w:rFonts w:ascii="仿宋" w:hAnsi="仿宋" w:eastAsia="仿宋" w:cs="仿宋"/>
                <w:kern w:val="0"/>
                <w:sz w:val="21"/>
                <w:szCs w:val="21"/>
              </w:rPr>
            </w:pPr>
          </w:p>
        </w:tc>
        <w:tc>
          <w:tcPr>
            <w:tcW w:w="1592" w:type="dxa"/>
            <w:vAlign w:val="center"/>
          </w:tcPr>
          <w:p>
            <w:pPr>
              <w:widowControl/>
              <w:spacing w:line="280" w:lineRule="exact"/>
              <w:jc w:val="left"/>
              <w:rPr>
                <w:rFonts w:ascii="仿宋" w:hAnsi="仿宋" w:eastAsia="仿宋" w:cs="仿宋"/>
                <w:kern w:val="0"/>
                <w:sz w:val="21"/>
                <w:szCs w:val="21"/>
              </w:rPr>
            </w:pPr>
            <w:r>
              <w:rPr>
                <w:rFonts w:hint="eastAsia" w:ascii="仿宋" w:hAnsi="仿宋" w:eastAsia="仿宋" w:cs="仿宋"/>
                <w:color w:val="000000" w:themeColor="text1"/>
                <w:kern w:val="0"/>
                <w:sz w:val="21"/>
                <w:szCs w:val="21"/>
                <w:lang w:bidi="ar"/>
                <w14:textFill>
                  <w14:solidFill>
                    <w14:schemeClr w14:val="tx1"/>
                  </w14:solidFill>
                </w14:textFill>
              </w:rPr>
              <w:t>以德育实践活动为主要内容，内容包括工匠精神、中国特色社会主义、“四史”学习、爱国主义等。</w:t>
            </w:r>
          </w:p>
        </w:tc>
        <w:tc>
          <w:tcPr>
            <w:tcW w:w="2550" w:type="dxa"/>
            <w:vAlign w:val="center"/>
          </w:tcPr>
          <w:p>
            <w:pPr>
              <w:widowControl/>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提倡教学方法和手段的多样化，创设各种教学活动，如角色扮演、案例分析、心理游戏、情景模拟、小组讨论、游戏等，有的放矢展开教学，提升学生的综合素质。</w:t>
            </w:r>
          </w:p>
          <w:p>
            <w:pPr>
              <w:widowControl/>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 xml:space="preserve">注：该教学内容安排在二年级第二学期。 </w:t>
            </w:r>
          </w:p>
        </w:tc>
        <w:tc>
          <w:tcPr>
            <w:tcW w:w="855" w:type="dxa"/>
            <w:vAlign w:val="center"/>
          </w:tcPr>
          <w:p>
            <w:pPr>
              <w:widowControl/>
              <w:spacing w:line="280" w:lineRule="exact"/>
              <w:jc w:val="center"/>
              <w:rPr>
                <w:rFonts w:ascii="仿宋" w:hAnsi="仿宋" w:eastAsia="仿宋" w:cs="仿宋"/>
                <w:kern w:val="0"/>
                <w:sz w:val="21"/>
                <w:szCs w:val="21"/>
              </w:rPr>
            </w:pPr>
            <w:r>
              <w:rPr>
                <w:rFonts w:hint="eastAsia" w:ascii="仿宋" w:hAnsi="仿宋" w:eastAsia="仿宋" w:cs="仿宋"/>
                <w:kern w:val="0"/>
                <w:sz w:val="21"/>
                <w:szCs w:val="21"/>
              </w:rPr>
              <w:t>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4" w:hRule="exact"/>
          <w:jc w:val="center"/>
        </w:trPr>
        <w:tc>
          <w:tcPr>
            <w:tcW w:w="405" w:type="dxa"/>
            <w:vAlign w:val="center"/>
          </w:tcPr>
          <w:p>
            <w:pPr>
              <w:jc w:val="center"/>
              <w:rPr>
                <w:sz w:val="24"/>
                <w:szCs w:val="24"/>
              </w:rPr>
            </w:pPr>
            <w:r>
              <w:rPr>
                <w:rFonts w:hint="eastAsia"/>
                <w:sz w:val="24"/>
                <w:szCs w:val="24"/>
              </w:rPr>
              <w:t>2</w:t>
            </w:r>
          </w:p>
        </w:tc>
        <w:tc>
          <w:tcPr>
            <w:tcW w:w="1521" w:type="dxa"/>
            <w:gridSpan w:val="2"/>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心理健康教育</w:t>
            </w:r>
          </w:p>
        </w:tc>
        <w:tc>
          <w:tcPr>
            <w:tcW w:w="2278"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1.了解心理健康的基本知识，掌握心理调适的方法，培养良好的人际关系，增强适应能力。</w:t>
            </w:r>
          </w:p>
          <w:p>
            <w:pPr>
              <w:spacing w:line="280" w:lineRule="exact"/>
              <w:jc w:val="left"/>
              <w:rPr>
                <w:rFonts w:ascii="仿宋" w:hAnsi="仿宋" w:eastAsia="仿宋" w:cs="仿宋"/>
                <w:sz w:val="21"/>
                <w:szCs w:val="21"/>
              </w:rPr>
            </w:pPr>
            <w:r>
              <w:rPr>
                <w:rFonts w:hint="eastAsia" w:ascii="仿宋" w:hAnsi="仿宋" w:eastAsia="仿宋" w:cs="仿宋"/>
                <w:sz w:val="21"/>
                <w:szCs w:val="21"/>
              </w:rPr>
              <w:t>2.激发学习兴趣和学习动机，学会学习，掌握学习方法，有效学习，树立学习自信和终身学习的理念。</w:t>
            </w:r>
          </w:p>
          <w:p>
            <w:pPr>
              <w:spacing w:line="280" w:lineRule="exact"/>
              <w:jc w:val="left"/>
              <w:rPr>
                <w:rFonts w:ascii="仿宋" w:hAnsi="仿宋" w:eastAsia="仿宋" w:cs="仿宋"/>
                <w:sz w:val="21"/>
                <w:szCs w:val="21"/>
              </w:rPr>
            </w:pPr>
            <w:r>
              <w:rPr>
                <w:rFonts w:hint="eastAsia" w:ascii="仿宋" w:hAnsi="仿宋" w:eastAsia="仿宋" w:cs="仿宋"/>
                <w:sz w:val="21"/>
                <w:szCs w:val="21"/>
              </w:rPr>
              <w:t>3.正确对待学习生活中的心理与行为问题，勇于面对职业压力，培养良好的职业心理素质。</w:t>
            </w:r>
          </w:p>
        </w:tc>
        <w:tc>
          <w:tcPr>
            <w:tcW w:w="1592"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适应新环境、树立职业理想、制订行动计划、做好时间管理、高效学习的方法、缓解职业压力、应对挫折等</w:t>
            </w:r>
          </w:p>
        </w:tc>
        <w:tc>
          <w:tcPr>
            <w:tcW w:w="2550"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采取合作课堂的形式，提倡教学方法和手段的多样化，创设各种教学活动，如角色扮演、案例分析、心理游戏、情景模拟、小组讨论、游戏等，有的放矢展开教学，提升学生的综合素质。</w:t>
            </w:r>
          </w:p>
          <w:p>
            <w:pPr>
              <w:spacing w:line="280" w:lineRule="exact"/>
              <w:jc w:val="left"/>
              <w:rPr>
                <w:rFonts w:ascii="仿宋" w:hAnsi="仿宋" w:eastAsia="仿宋" w:cs="仿宋"/>
                <w:sz w:val="21"/>
                <w:szCs w:val="21"/>
              </w:rPr>
            </w:pPr>
            <w:r>
              <w:rPr>
                <w:rFonts w:hint="eastAsia" w:ascii="仿宋" w:hAnsi="仿宋" w:eastAsia="仿宋" w:cs="仿宋"/>
                <w:sz w:val="21"/>
                <w:szCs w:val="21"/>
              </w:rPr>
              <w:t>注：该教学内容安排在一年级第一学期。</w:t>
            </w:r>
          </w:p>
        </w:tc>
        <w:tc>
          <w:tcPr>
            <w:tcW w:w="85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4" w:hRule="exact"/>
          <w:jc w:val="center"/>
        </w:trPr>
        <w:tc>
          <w:tcPr>
            <w:tcW w:w="405" w:type="dxa"/>
            <w:vAlign w:val="center"/>
          </w:tcPr>
          <w:p>
            <w:pPr>
              <w:jc w:val="center"/>
              <w:rPr>
                <w:sz w:val="24"/>
                <w:szCs w:val="24"/>
              </w:rPr>
            </w:pPr>
            <w:r>
              <w:rPr>
                <w:rFonts w:hint="eastAsia"/>
                <w:sz w:val="24"/>
                <w:szCs w:val="24"/>
              </w:rPr>
              <w:t>3</w:t>
            </w:r>
          </w:p>
        </w:tc>
        <w:tc>
          <w:tcPr>
            <w:tcW w:w="1521" w:type="dxa"/>
            <w:gridSpan w:val="2"/>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语文</w:t>
            </w:r>
          </w:p>
        </w:tc>
        <w:tc>
          <w:tcPr>
            <w:tcW w:w="2278"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1.具有日常口语交际的基本能力，听话时能理解对方说话的主要内容，说话时表达清楚、得体。</w:t>
            </w:r>
          </w:p>
          <w:p>
            <w:pPr>
              <w:spacing w:line="280" w:lineRule="exact"/>
              <w:jc w:val="left"/>
              <w:rPr>
                <w:rFonts w:ascii="仿宋" w:hAnsi="仿宋" w:eastAsia="仿宋" w:cs="仿宋"/>
                <w:sz w:val="21"/>
                <w:szCs w:val="21"/>
              </w:rPr>
            </w:pPr>
            <w:r>
              <w:rPr>
                <w:rFonts w:hint="eastAsia" w:ascii="仿宋" w:hAnsi="仿宋" w:eastAsia="仿宋" w:cs="仿宋"/>
                <w:sz w:val="21"/>
                <w:szCs w:val="21"/>
              </w:rPr>
              <w:t>2.具有独立阅读能力，能够理解文章主要内容。</w:t>
            </w:r>
          </w:p>
          <w:p>
            <w:pPr>
              <w:spacing w:line="280" w:lineRule="exact"/>
              <w:jc w:val="left"/>
              <w:rPr>
                <w:rFonts w:ascii="仿宋" w:hAnsi="仿宋" w:eastAsia="仿宋" w:cs="仿宋"/>
                <w:sz w:val="21"/>
                <w:szCs w:val="21"/>
              </w:rPr>
            </w:pPr>
            <w:r>
              <w:rPr>
                <w:rFonts w:hint="eastAsia" w:ascii="仿宋" w:hAnsi="仿宋" w:eastAsia="仿宋" w:cs="仿宋"/>
                <w:sz w:val="21"/>
                <w:szCs w:val="21"/>
              </w:rPr>
              <w:t>3.掌握应用文写作要领，能撰写格式规范、符合实际要求的应用文。</w:t>
            </w:r>
          </w:p>
          <w:p>
            <w:pPr>
              <w:spacing w:line="280" w:lineRule="exact"/>
              <w:jc w:val="left"/>
              <w:rPr>
                <w:rFonts w:ascii="仿宋" w:hAnsi="仿宋" w:eastAsia="仿宋" w:cs="仿宋"/>
                <w:sz w:val="21"/>
                <w:szCs w:val="21"/>
              </w:rPr>
            </w:pPr>
            <w:r>
              <w:rPr>
                <w:rFonts w:hint="eastAsia" w:ascii="仿宋" w:hAnsi="仿宋" w:eastAsia="仿宋" w:cs="仿宋"/>
                <w:sz w:val="21"/>
                <w:szCs w:val="21"/>
              </w:rPr>
              <w:t>4.培养家国情怀，增强中国传统文化自信。</w:t>
            </w:r>
          </w:p>
        </w:tc>
        <w:tc>
          <w:tcPr>
            <w:tcW w:w="1592"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1.普通话、发声技能、朗读技能、心理素质、态势语、演讲口才、论辩口才、社交口才。</w:t>
            </w:r>
          </w:p>
          <w:p>
            <w:pPr>
              <w:spacing w:line="280" w:lineRule="exact"/>
              <w:jc w:val="left"/>
              <w:rPr>
                <w:rFonts w:ascii="仿宋" w:hAnsi="仿宋" w:eastAsia="仿宋" w:cs="仿宋"/>
                <w:sz w:val="21"/>
                <w:szCs w:val="21"/>
              </w:rPr>
            </w:pPr>
            <w:r>
              <w:rPr>
                <w:rFonts w:hint="eastAsia" w:ascii="仿宋" w:hAnsi="仿宋" w:eastAsia="仿宋" w:cs="仿宋"/>
                <w:sz w:val="21"/>
                <w:szCs w:val="21"/>
              </w:rPr>
              <w:t>2.诗歌、散文、小说；</w:t>
            </w:r>
          </w:p>
          <w:p>
            <w:pPr>
              <w:spacing w:line="280" w:lineRule="exact"/>
              <w:jc w:val="left"/>
              <w:rPr>
                <w:rFonts w:ascii="仿宋" w:hAnsi="仿宋" w:eastAsia="仿宋" w:cs="仿宋"/>
                <w:sz w:val="21"/>
                <w:szCs w:val="21"/>
              </w:rPr>
            </w:pPr>
            <w:r>
              <w:rPr>
                <w:rFonts w:hint="eastAsia" w:ascii="仿宋" w:hAnsi="仿宋" w:eastAsia="仿宋" w:cs="仿宋"/>
                <w:sz w:val="21"/>
                <w:szCs w:val="21"/>
              </w:rPr>
              <w:t>3. 条据、申请书、通知、计划、总结、自我鉴定、产品说明书、协议书、劳动合同。</w:t>
            </w:r>
          </w:p>
        </w:tc>
        <w:tc>
          <w:tcPr>
            <w:tcW w:w="2550"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1．教学条件：多媒体教学设备。</w:t>
            </w:r>
          </w:p>
          <w:p>
            <w:pPr>
              <w:spacing w:line="280" w:lineRule="exact"/>
              <w:jc w:val="left"/>
              <w:rPr>
                <w:rFonts w:ascii="仿宋" w:hAnsi="仿宋" w:eastAsia="仿宋" w:cs="仿宋"/>
                <w:sz w:val="21"/>
                <w:szCs w:val="21"/>
              </w:rPr>
            </w:pPr>
            <w:r>
              <w:rPr>
                <w:rFonts w:hint="eastAsia" w:ascii="仿宋" w:hAnsi="仿宋" w:eastAsia="仿宋" w:cs="仿宋"/>
                <w:sz w:val="21"/>
                <w:szCs w:val="21"/>
              </w:rPr>
              <w:t>2．教学方法：以行动导向教学法为主。</w:t>
            </w:r>
          </w:p>
        </w:tc>
        <w:tc>
          <w:tcPr>
            <w:tcW w:w="85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9" w:hRule="exact"/>
          <w:jc w:val="center"/>
        </w:trPr>
        <w:tc>
          <w:tcPr>
            <w:tcW w:w="40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4</w:t>
            </w:r>
          </w:p>
        </w:tc>
        <w:tc>
          <w:tcPr>
            <w:tcW w:w="1521" w:type="dxa"/>
            <w:gridSpan w:val="2"/>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数学</w:t>
            </w:r>
          </w:p>
        </w:tc>
        <w:tc>
          <w:tcPr>
            <w:tcW w:w="2278" w:type="dxa"/>
            <w:vAlign w:val="center"/>
          </w:tcPr>
          <w:p>
            <w:pPr>
              <w:spacing w:line="280" w:lineRule="exact"/>
              <w:jc w:val="left"/>
              <w:rPr>
                <w:rFonts w:ascii="仿宋" w:hAnsi="仿宋" w:eastAsia="仿宋" w:cs="仿宋"/>
                <w:sz w:val="21"/>
                <w:szCs w:val="21"/>
              </w:rPr>
            </w:pPr>
            <w:r>
              <w:rPr>
                <w:rFonts w:hint="eastAsia" w:ascii="仿宋" w:hAnsi="仿宋" w:eastAsia="仿宋" w:cs="仿宋"/>
                <w:bCs/>
                <w:sz w:val="21"/>
                <w:szCs w:val="21"/>
              </w:rPr>
              <w:t>熟练掌握</w:t>
            </w:r>
            <w:r>
              <w:rPr>
                <w:rFonts w:hint="eastAsia" w:ascii="仿宋" w:hAnsi="仿宋" w:eastAsia="仿宋" w:cs="仿宋"/>
                <w:sz w:val="21"/>
                <w:szCs w:val="21"/>
              </w:rPr>
              <w:t>数、式的加减乘除运算</w:t>
            </w:r>
            <w:r>
              <w:rPr>
                <w:rFonts w:hint="eastAsia" w:ascii="仿宋" w:hAnsi="仿宋" w:eastAsia="仿宋" w:cs="仿宋"/>
                <w:bCs/>
                <w:sz w:val="21"/>
                <w:szCs w:val="21"/>
              </w:rPr>
              <w:t>熟悉</w:t>
            </w:r>
            <w:r>
              <w:rPr>
                <w:rFonts w:hint="eastAsia" w:ascii="仿宋" w:hAnsi="仿宋" w:eastAsia="仿宋" w:cs="仿宋"/>
                <w:spacing w:val="5"/>
                <w:sz w:val="21"/>
                <w:szCs w:val="21"/>
              </w:rPr>
              <w:t>一元一次（移项）、一元二次方程、二元一次方程组的解法，对数，开方</w:t>
            </w:r>
            <w:r>
              <w:rPr>
                <w:rFonts w:hint="eastAsia" w:ascii="仿宋" w:hAnsi="仿宋" w:eastAsia="仿宋" w:cs="仿宋"/>
                <w:bCs/>
                <w:sz w:val="21"/>
                <w:szCs w:val="21"/>
              </w:rPr>
              <w:t>的基本概念、性质，并能进行相关运算，正确使用</w:t>
            </w:r>
            <w:r>
              <w:rPr>
                <w:rFonts w:hint="eastAsia" w:ascii="仿宋" w:hAnsi="仿宋" w:eastAsia="仿宋" w:cs="仿宋"/>
                <w:spacing w:val="5"/>
                <w:sz w:val="21"/>
                <w:szCs w:val="21"/>
              </w:rPr>
              <w:t>科学计算器的使用，</w:t>
            </w:r>
            <w:r>
              <w:rPr>
                <w:rFonts w:hint="eastAsia" w:ascii="仿宋" w:hAnsi="仿宋" w:eastAsia="仿宋" w:cs="仿宋"/>
                <w:bCs/>
                <w:sz w:val="21"/>
                <w:szCs w:val="21"/>
              </w:rPr>
              <w:t>了解函数的定义及性质，培养科学严谨的职业精神。</w:t>
            </w:r>
          </w:p>
        </w:tc>
        <w:tc>
          <w:tcPr>
            <w:tcW w:w="1592" w:type="dxa"/>
            <w:vAlign w:val="center"/>
          </w:tcPr>
          <w:p>
            <w:pPr>
              <w:spacing w:line="280" w:lineRule="exact"/>
              <w:jc w:val="left"/>
              <w:rPr>
                <w:rFonts w:ascii="仿宋" w:hAnsi="仿宋" w:eastAsia="仿宋" w:cs="仿宋"/>
                <w:spacing w:val="5"/>
                <w:sz w:val="21"/>
                <w:szCs w:val="21"/>
              </w:rPr>
            </w:pPr>
            <w:r>
              <w:rPr>
                <w:rFonts w:hint="eastAsia" w:ascii="仿宋" w:hAnsi="仿宋" w:eastAsia="仿宋" w:cs="仿宋"/>
                <w:sz w:val="21"/>
                <w:szCs w:val="21"/>
              </w:rPr>
              <w:t>数、式的加减乘除运算，</w:t>
            </w:r>
            <w:r>
              <w:rPr>
                <w:rFonts w:hint="eastAsia" w:ascii="仿宋" w:hAnsi="仿宋" w:eastAsia="仿宋" w:cs="仿宋"/>
                <w:spacing w:val="5"/>
                <w:sz w:val="21"/>
                <w:szCs w:val="21"/>
              </w:rPr>
              <w:t>一元一次方程（移项）、一元二次方程、二元一次方程组的解法，对数，开方，科学计算器的使用，函数的概念及性质</w:t>
            </w:r>
            <w:r>
              <w:rPr>
                <w:rFonts w:hint="eastAsia" w:ascii="仿宋" w:hAnsi="仿宋" w:eastAsia="仿宋" w:cs="仿宋"/>
                <w:bCs/>
                <w:sz w:val="21"/>
                <w:szCs w:val="21"/>
              </w:rPr>
              <w:t>等。</w:t>
            </w:r>
          </w:p>
          <w:p>
            <w:pPr>
              <w:spacing w:line="280" w:lineRule="exact"/>
              <w:ind w:firstLine="210" w:firstLineChars="100"/>
              <w:jc w:val="left"/>
              <w:rPr>
                <w:rFonts w:ascii="仿宋" w:hAnsi="仿宋" w:eastAsia="仿宋" w:cs="仿宋"/>
                <w:sz w:val="21"/>
                <w:szCs w:val="21"/>
              </w:rPr>
            </w:pPr>
          </w:p>
        </w:tc>
        <w:tc>
          <w:tcPr>
            <w:tcW w:w="2550" w:type="dxa"/>
            <w:vAlign w:val="center"/>
          </w:tcPr>
          <w:p>
            <w:pPr>
              <w:spacing w:line="280" w:lineRule="exact"/>
              <w:ind w:firstLine="105" w:firstLineChars="50"/>
              <w:jc w:val="left"/>
              <w:rPr>
                <w:rFonts w:ascii="仿宋" w:hAnsi="仿宋" w:eastAsia="仿宋" w:cs="仿宋"/>
                <w:bCs/>
                <w:sz w:val="21"/>
                <w:szCs w:val="21"/>
              </w:rPr>
            </w:pPr>
            <w:r>
              <w:rPr>
                <w:rFonts w:hint="eastAsia" w:ascii="仿宋" w:hAnsi="仿宋" w:eastAsia="仿宋" w:cs="仿宋"/>
                <w:bCs/>
                <w:sz w:val="21"/>
                <w:szCs w:val="21"/>
              </w:rPr>
              <w:t>1.教学中，应注重基础知识的理解和计算能力的培养，理解定理及公式，并能应用。</w:t>
            </w:r>
          </w:p>
          <w:p>
            <w:pPr>
              <w:spacing w:line="280" w:lineRule="exact"/>
              <w:ind w:firstLine="105" w:firstLineChars="50"/>
              <w:jc w:val="left"/>
              <w:rPr>
                <w:rFonts w:ascii="仿宋" w:hAnsi="仿宋" w:eastAsia="仿宋" w:cs="仿宋"/>
                <w:bCs/>
                <w:sz w:val="21"/>
                <w:szCs w:val="21"/>
              </w:rPr>
            </w:pPr>
            <w:r>
              <w:rPr>
                <w:rFonts w:hint="eastAsia" w:ascii="仿宋" w:hAnsi="仿宋" w:eastAsia="仿宋" w:cs="仿宋"/>
                <w:bCs/>
                <w:sz w:val="21"/>
                <w:szCs w:val="21"/>
              </w:rPr>
              <w:t>2.注意基本计算方法的训练，不要太注重技巧性的题目和难题。</w:t>
            </w:r>
          </w:p>
          <w:p>
            <w:pPr>
              <w:spacing w:line="280" w:lineRule="exact"/>
              <w:ind w:firstLine="210" w:firstLineChars="100"/>
              <w:jc w:val="left"/>
              <w:rPr>
                <w:rFonts w:ascii="仿宋" w:hAnsi="仿宋" w:eastAsia="仿宋" w:cs="仿宋"/>
                <w:sz w:val="21"/>
                <w:szCs w:val="21"/>
              </w:rPr>
            </w:pPr>
            <w:r>
              <w:rPr>
                <w:rFonts w:hint="eastAsia" w:ascii="仿宋" w:hAnsi="仿宋" w:eastAsia="仿宋" w:cs="仿宋"/>
                <w:bCs/>
                <w:sz w:val="21"/>
                <w:szCs w:val="21"/>
              </w:rPr>
              <w:t>3.尽可能的结合生活及职业岗位的实例进行相关单元教学</w:t>
            </w:r>
            <w:r>
              <w:rPr>
                <w:rFonts w:hint="eastAsia" w:ascii="仿宋" w:hAnsi="仿宋" w:eastAsia="仿宋" w:cs="仿宋"/>
                <w:sz w:val="21"/>
                <w:szCs w:val="21"/>
              </w:rPr>
              <w:t>。</w:t>
            </w:r>
          </w:p>
        </w:tc>
        <w:tc>
          <w:tcPr>
            <w:tcW w:w="85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9" w:hRule="exact"/>
          <w:jc w:val="center"/>
        </w:trPr>
        <w:tc>
          <w:tcPr>
            <w:tcW w:w="40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5</w:t>
            </w:r>
          </w:p>
        </w:tc>
        <w:tc>
          <w:tcPr>
            <w:tcW w:w="1521" w:type="dxa"/>
            <w:gridSpan w:val="2"/>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历史</w:t>
            </w:r>
          </w:p>
        </w:tc>
        <w:tc>
          <w:tcPr>
            <w:tcW w:w="2278"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了解中国历史发展进程，准确掌握重要的历史时间、事件、人物及各种重大历史事件内在的联系;培养学生运用史料分析、解决历史问题的能力;充分发挥历史学科的优势，做好学生的思想教育工作。树立文化自信，培养民族自豪感和爱国主义精神。</w:t>
            </w:r>
          </w:p>
          <w:p>
            <w:pPr>
              <w:spacing w:line="280" w:lineRule="exact"/>
              <w:jc w:val="left"/>
              <w:rPr>
                <w:rFonts w:ascii="仿宋" w:hAnsi="仿宋" w:eastAsia="仿宋" w:cs="仿宋"/>
                <w:sz w:val="21"/>
                <w:szCs w:val="21"/>
              </w:rPr>
            </w:pPr>
          </w:p>
        </w:tc>
        <w:tc>
          <w:tcPr>
            <w:tcW w:w="1592"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中国古代史、中国近代史、中国现代史</w:t>
            </w:r>
          </w:p>
        </w:tc>
        <w:tc>
          <w:tcPr>
            <w:tcW w:w="2550"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1.以启发诱导式教学为主，并采用各种有效的教学方法和手段以激发学生学习历史的积极性。</w:t>
            </w:r>
          </w:p>
          <w:p>
            <w:pPr>
              <w:spacing w:line="280" w:lineRule="exact"/>
              <w:jc w:val="left"/>
              <w:rPr>
                <w:rFonts w:ascii="仿宋" w:hAnsi="仿宋" w:eastAsia="仿宋" w:cs="仿宋"/>
                <w:sz w:val="21"/>
                <w:szCs w:val="21"/>
              </w:rPr>
            </w:pPr>
            <w:r>
              <w:rPr>
                <w:rFonts w:hint="eastAsia" w:ascii="仿宋" w:hAnsi="仿宋" w:eastAsia="仿宋" w:cs="仿宋"/>
                <w:sz w:val="21"/>
                <w:szCs w:val="21"/>
              </w:rPr>
              <w:t>2.加强直观教学，充分利用教学挂图等教学工具。</w:t>
            </w:r>
          </w:p>
          <w:p>
            <w:pPr>
              <w:spacing w:line="280" w:lineRule="exact"/>
              <w:jc w:val="left"/>
              <w:rPr>
                <w:rFonts w:ascii="仿宋" w:hAnsi="仿宋" w:eastAsia="仿宋" w:cs="仿宋"/>
                <w:sz w:val="21"/>
                <w:szCs w:val="21"/>
              </w:rPr>
            </w:pPr>
            <w:r>
              <w:rPr>
                <w:rFonts w:hint="eastAsia" w:ascii="仿宋" w:hAnsi="仿宋" w:eastAsia="仿宋" w:cs="仿宋"/>
                <w:sz w:val="21"/>
                <w:szCs w:val="21"/>
              </w:rPr>
              <w:t>3.积极采用现代化教学手段激发学生的学习兴趣。</w:t>
            </w:r>
          </w:p>
          <w:p>
            <w:pPr>
              <w:spacing w:line="280" w:lineRule="exact"/>
              <w:jc w:val="left"/>
              <w:rPr>
                <w:rFonts w:ascii="仿宋" w:hAnsi="仿宋" w:eastAsia="仿宋" w:cs="仿宋"/>
                <w:sz w:val="21"/>
                <w:szCs w:val="21"/>
              </w:rPr>
            </w:pPr>
            <w:r>
              <w:rPr>
                <w:rFonts w:hint="eastAsia" w:ascii="仿宋" w:hAnsi="仿宋" w:eastAsia="仿宋" w:cs="仿宋"/>
                <w:sz w:val="21"/>
                <w:szCs w:val="21"/>
              </w:rPr>
              <w:t>4.每期都要开设历史活动课，要求自己必须自始至终参加学生的活动，并且要让学生学有所得。</w:t>
            </w:r>
          </w:p>
          <w:p>
            <w:pPr>
              <w:spacing w:line="280" w:lineRule="exact"/>
              <w:jc w:val="left"/>
              <w:rPr>
                <w:rFonts w:ascii="仿宋" w:hAnsi="仿宋" w:eastAsia="仿宋" w:cs="仿宋"/>
                <w:sz w:val="21"/>
                <w:szCs w:val="21"/>
              </w:rPr>
            </w:pPr>
          </w:p>
        </w:tc>
        <w:tc>
          <w:tcPr>
            <w:tcW w:w="85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09" w:hRule="exact"/>
          <w:jc w:val="center"/>
        </w:trPr>
        <w:tc>
          <w:tcPr>
            <w:tcW w:w="40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6</w:t>
            </w:r>
          </w:p>
        </w:tc>
        <w:tc>
          <w:tcPr>
            <w:tcW w:w="1521" w:type="dxa"/>
            <w:gridSpan w:val="2"/>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英语</w:t>
            </w:r>
          </w:p>
        </w:tc>
        <w:tc>
          <w:tcPr>
            <w:tcW w:w="2278" w:type="dxa"/>
            <w:vAlign w:val="center"/>
          </w:tcPr>
          <w:p>
            <w:pPr>
              <w:jc w:val="left"/>
              <w:rPr>
                <w:rFonts w:ascii="仿宋" w:hAnsi="仿宋" w:eastAsia="仿宋" w:cs="仿宋"/>
                <w:sz w:val="21"/>
                <w:szCs w:val="21"/>
              </w:rPr>
            </w:pPr>
            <w:r>
              <w:rPr>
                <w:rFonts w:hint="eastAsia" w:ascii="仿宋" w:hAnsi="仿宋" w:eastAsia="仿宋" w:cs="仿宋"/>
                <w:sz w:val="21"/>
                <w:szCs w:val="21"/>
              </w:rPr>
              <w:t>1.使学生认识分析检验常用仪器、设备英文名称。</w:t>
            </w:r>
          </w:p>
          <w:p>
            <w:pPr>
              <w:jc w:val="left"/>
              <w:rPr>
                <w:rFonts w:ascii="仿宋" w:hAnsi="仿宋" w:eastAsia="仿宋" w:cs="仿宋"/>
                <w:sz w:val="21"/>
                <w:szCs w:val="21"/>
              </w:rPr>
            </w:pPr>
            <w:r>
              <w:rPr>
                <w:rFonts w:hint="eastAsia" w:ascii="仿宋" w:hAnsi="仿宋" w:eastAsia="仿宋" w:cs="仿宋"/>
                <w:sz w:val="21"/>
                <w:szCs w:val="21"/>
              </w:rPr>
              <w:t>2.使学生掌握基本的化学专业英语的翻译技巧，能借助字典进行简单化学专业英语的阅读和翻译。并能阅读简单的化学公式、化学药品使用说明书等。</w:t>
            </w:r>
          </w:p>
          <w:p>
            <w:pPr>
              <w:jc w:val="left"/>
              <w:rPr>
                <w:rFonts w:ascii="仿宋" w:hAnsi="仿宋" w:eastAsia="仿宋" w:cs="仿宋"/>
                <w:sz w:val="21"/>
                <w:szCs w:val="21"/>
              </w:rPr>
            </w:pPr>
            <w:r>
              <w:rPr>
                <w:rFonts w:hint="eastAsia" w:ascii="仿宋" w:hAnsi="仿宋" w:eastAsia="仿宋" w:cs="仿宋"/>
                <w:sz w:val="21"/>
                <w:szCs w:val="21"/>
              </w:rPr>
              <w:t>3.熟悉常见有机基团和常用化工产品英文缩写，了解化工产品生产、健康、安全、环境和质量等方面的内容。</w:t>
            </w:r>
          </w:p>
          <w:p>
            <w:pPr>
              <w:spacing w:line="280" w:lineRule="exact"/>
              <w:ind w:firstLine="210" w:firstLineChars="100"/>
              <w:jc w:val="left"/>
              <w:rPr>
                <w:rFonts w:ascii="仿宋" w:hAnsi="仿宋" w:eastAsia="仿宋" w:cs="仿宋"/>
                <w:sz w:val="21"/>
                <w:szCs w:val="21"/>
              </w:rPr>
            </w:pPr>
            <w:r>
              <w:rPr>
                <w:rFonts w:hint="eastAsia" w:ascii="仿宋" w:hAnsi="仿宋" w:eastAsia="仿宋" w:cs="仿宋"/>
                <w:sz w:val="21"/>
                <w:szCs w:val="21"/>
              </w:rPr>
              <w:t>4.在课程教学中渗透八大职业核心能力的培养（外语应用、与人合作、与人交流、信息处理、数字应用、解决问题、自我学习和创新革新能力）。</w:t>
            </w:r>
          </w:p>
        </w:tc>
        <w:tc>
          <w:tcPr>
            <w:tcW w:w="1592" w:type="dxa"/>
            <w:vAlign w:val="center"/>
          </w:tcPr>
          <w:p>
            <w:pPr>
              <w:spacing w:line="280" w:lineRule="exact"/>
              <w:ind w:firstLine="210" w:firstLineChars="100"/>
              <w:jc w:val="left"/>
              <w:rPr>
                <w:rFonts w:ascii="仿宋" w:hAnsi="仿宋" w:eastAsia="仿宋" w:cs="仿宋"/>
                <w:sz w:val="21"/>
                <w:szCs w:val="21"/>
              </w:rPr>
            </w:pPr>
            <w:r>
              <w:rPr>
                <w:rFonts w:hint="eastAsia" w:ascii="仿宋" w:hAnsi="仿宋" w:eastAsia="仿宋" w:cs="仿宋"/>
                <w:sz w:val="21"/>
                <w:szCs w:val="21"/>
              </w:rPr>
              <w:t>语言知识、专业词汇、语法、功能、话题。</w:t>
            </w:r>
          </w:p>
        </w:tc>
        <w:tc>
          <w:tcPr>
            <w:tcW w:w="2550" w:type="dxa"/>
            <w:vAlign w:val="center"/>
          </w:tcPr>
          <w:p>
            <w:pPr>
              <w:ind w:firstLine="210" w:firstLineChars="100"/>
              <w:rPr>
                <w:rFonts w:ascii="仿宋" w:hAnsi="仿宋" w:eastAsia="仿宋" w:cs="仿宋"/>
                <w:sz w:val="21"/>
                <w:szCs w:val="21"/>
              </w:rPr>
            </w:pPr>
            <w:r>
              <w:rPr>
                <w:rFonts w:hint="eastAsia" w:ascii="仿宋" w:hAnsi="仿宋" w:eastAsia="仿宋" w:cs="仿宋"/>
                <w:kern w:val="0"/>
                <w:sz w:val="21"/>
                <w:szCs w:val="21"/>
              </w:rPr>
              <w:t>1</w:t>
            </w:r>
            <w:r>
              <w:rPr>
                <w:rFonts w:hint="eastAsia" w:ascii="仿宋" w:hAnsi="仿宋" w:eastAsia="仿宋" w:cs="仿宋"/>
                <w:sz w:val="21"/>
                <w:szCs w:val="21"/>
              </w:rPr>
              <w:t>.教学侧重词汇的学习与翻译技巧的掌握。</w:t>
            </w:r>
          </w:p>
          <w:p>
            <w:pPr>
              <w:spacing w:line="280" w:lineRule="exact"/>
              <w:ind w:firstLine="210" w:firstLineChars="100"/>
              <w:jc w:val="left"/>
              <w:rPr>
                <w:rFonts w:ascii="仿宋" w:hAnsi="仿宋" w:eastAsia="仿宋" w:cs="仿宋"/>
                <w:sz w:val="21"/>
                <w:szCs w:val="21"/>
              </w:rPr>
            </w:pPr>
            <w:r>
              <w:rPr>
                <w:rFonts w:hint="eastAsia" w:ascii="仿宋" w:hAnsi="仿宋" w:eastAsia="仿宋" w:cs="仿宋"/>
                <w:sz w:val="21"/>
                <w:szCs w:val="21"/>
              </w:rPr>
              <w:t>2.化工专业英语教学应融“教、学、做”为一体，结合现有专业课程的辅助来开展教学，并及时更新词汇的学习，注意教学的实用性，突出学生职业能力的培养。</w:t>
            </w:r>
          </w:p>
        </w:tc>
        <w:tc>
          <w:tcPr>
            <w:tcW w:w="85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84" w:hRule="exact"/>
          <w:jc w:val="center"/>
        </w:trPr>
        <w:tc>
          <w:tcPr>
            <w:tcW w:w="40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7</w:t>
            </w:r>
          </w:p>
        </w:tc>
        <w:tc>
          <w:tcPr>
            <w:tcW w:w="1521" w:type="dxa"/>
            <w:gridSpan w:val="2"/>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计算机基础与应用</w:t>
            </w:r>
          </w:p>
        </w:tc>
        <w:tc>
          <w:tcPr>
            <w:tcW w:w="2278" w:type="dxa"/>
            <w:vAlign w:val="center"/>
          </w:tcPr>
          <w:p>
            <w:pPr>
              <w:spacing w:line="280" w:lineRule="exact"/>
              <w:jc w:val="left"/>
              <w:rPr>
                <w:rFonts w:ascii="仿宋" w:hAnsi="仿宋" w:eastAsia="仿宋" w:cs="仿宋"/>
                <w:sz w:val="21"/>
                <w:szCs w:val="21"/>
              </w:rPr>
            </w:pPr>
            <w:r>
              <w:rPr>
                <w:rFonts w:hint="eastAsia" w:ascii="仿宋" w:hAnsi="仿宋" w:eastAsia="仿宋" w:cs="仿宋"/>
                <w:kern w:val="0"/>
                <w:sz w:val="21"/>
                <w:szCs w:val="21"/>
              </w:rPr>
              <w:t>了解计算机的发展及互联网的基本知识；熟悉word 、Excel、PowerPoint的使用；掌握文字录入的方法及技巧，培养开拓进取的职业习惯。</w:t>
            </w:r>
          </w:p>
        </w:tc>
        <w:tc>
          <w:tcPr>
            <w:tcW w:w="1592" w:type="dxa"/>
            <w:vAlign w:val="center"/>
          </w:tcPr>
          <w:p>
            <w:pPr>
              <w:widowControl/>
              <w:jc w:val="left"/>
              <w:rPr>
                <w:rFonts w:ascii="仿宋" w:hAnsi="仿宋" w:eastAsia="仿宋" w:cs="仿宋"/>
                <w:kern w:val="0"/>
                <w:sz w:val="21"/>
                <w:szCs w:val="21"/>
              </w:rPr>
            </w:pPr>
            <w:r>
              <w:rPr>
                <w:rFonts w:hint="eastAsia" w:ascii="仿宋" w:hAnsi="仿宋" w:eastAsia="仿宋" w:cs="仿宋"/>
                <w:kern w:val="0"/>
                <w:sz w:val="21"/>
                <w:szCs w:val="21"/>
              </w:rPr>
              <w:t>文字录入、word、Excel、 PowerPoint使用。</w:t>
            </w:r>
          </w:p>
          <w:p>
            <w:pPr>
              <w:spacing w:line="280" w:lineRule="exact"/>
              <w:ind w:firstLine="210" w:firstLineChars="100"/>
              <w:jc w:val="left"/>
              <w:rPr>
                <w:rFonts w:ascii="仿宋" w:hAnsi="仿宋" w:eastAsia="仿宋" w:cs="仿宋"/>
                <w:sz w:val="21"/>
                <w:szCs w:val="21"/>
              </w:rPr>
            </w:pPr>
          </w:p>
        </w:tc>
        <w:tc>
          <w:tcPr>
            <w:tcW w:w="2550" w:type="dxa"/>
            <w:vAlign w:val="center"/>
          </w:tcPr>
          <w:p>
            <w:pPr>
              <w:spacing w:line="280" w:lineRule="exact"/>
              <w:ind w:firstLine="210" w:firstLineChars="100"/>
              <w:jc w:val="left"/>
              <w:rPr>
                <w:rFonts w:ascii="仿宋" w:hAnsi="仿宋" w:eastAsia="仿宋" w:cs="仿宋"/>
                <w:sz w:val="21"/>
                <w:szCs w:val="21"/>
              </w:rPr>
            </w:pPr>
            <w:r>
              <w:rPr>
                <w:rFonts w:hint="eastAsia" w:ascii="仿宋" w:hAnsi="仿宋" w:eastAsia="仿宋" w:cs="仿宋"/>
                <w:kern w:val="0"/>
                <w:sz w:val="21"/>
                <w:szCs w:val="21"/>
              </w:rPr>
              <w:t>讲练结合，注重动手操作</w:t>
            </w:r>
          </w:p>
        </w:tc>
        <w:tc>
          <w:tcPr>
            <w:tcW w:w="85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9" w:hRule="exact"/>
          <w:jc w:val="center"/>
        </w:trPr>
        <w:tc>
          <w:tcPr>
            <w:tcW w:w="40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8</w:t>
            </w:r>
          </w:p>
        </w:tc>
        <w:tc>
          <w:tcPr>
            <w:tcW w:w="1521" w:type="dxa"/>
            <w:gridSpan w:val="2"/>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体育与健康</w:t>
            </w:r>
          </w:p>
        </w:tc>
        <w:tc>
          <w:tcPr>
            <w:tcW w:w="2278" w:type="dxa"/>
            <w:vAlign w:val="center"/>
          </w:tcPr>
          <w:p>
            <w:pPr>
              <w:spacing w:line="280" w:lineRule="exact"/>
              <w:ind w:firstLine="210" w:firstLineChars="100"/>
              <w:jc w:val="left"/>
              <w:rPr>
                <w:rFonts w:ascii="仿宋" w:hAnsi="仿宋" w:eastAsia="仿宋" w:cs="仿宋"/>
                <w:sz w:val="21"/>
                <w:szCs w:val="21"/>
              </w:rPr>
            </w:pPr>
            <w:r>
              <w:rPr>
                <w:rFonts w:hint="eastAsia" w:ascii="仿宋" w:hAnsi="仿宋" w:eastAsia="仿宋" w:cs="仿宋"/>
                <w:kern w:val="0"/>
                <w:sz w:val="21"/>
                <w:szCs w:val="21"/>
              </w:rPr>
              <w:t>让学生学习体育基本知识和体育卫生保健知识，培养学生吃苦耐劳的精神，高尚情操和团结协作的集体主义精神。培养学生对体育运动的兴趣与爱好，养成良好的体育锻炼习惯和卫生习惯，形成终身体育的正确体育观。</w:t>
            </w:r>
          </w:p>
        </w:tc>
        <w:tc>
          <w:tcPr>
            <w:tcW w:w="1592" w:type="dxa"/>
            <w:vAlign w:val="center"/>
          </w:tcPr>
          <w:p>
            <w:pPr>
              <w:spacing w:line="280" w:lineRule="exact"/>
              <w:ind w:firstLine="210" w:firstLineChars="100"/>
              <w:rPr>
                <w:rFonts w:ascii="仿宋" w:hAnsi="仿宋" w:eastAsia="仿宋" w:cs="仿宋"/>
                <w:sz w:val="21"/>
                <w:szCs w:val="21"/>
              </w:rPr>
            </w:pPr>
            <w:r>
              <w:rPr>
                <w:rFonts w:hint="eastAsia" w:ascii="仿宋" w:hAnsi="仿宋" w:eastAsia="仿宋" w:cs="仿宋"/>
                <w:kern w:val="0"/>
                <w:sz w:val="21"/>
                <w:szCs w:val="21"/>
              </w:rPr>
              <w:t>体育基本知识、</w:t>
            </w:r>
            <w:r>
              <w:rPr>
                <w:rFonts w:hint="eastAsia" w:ascii="仿宋" w:hAnsi="仿宋" w:eastAsia="仿宋" w:cs="仿宋"/>
                <w:sz w:val="21"/>
                <w:szCs w:val="21"/>
              </w:rPr>
              <w:t>短跑、中长跑、立定跳远、足球、乒乓球、篮球、排球、武术、体操、板鞋等。</w:t>
            </w:r>
          </w:p>
          <w:p>
            <w:pPr>
              <w:spacing w:line="280" w:lineRule="exact"/>
              <w:ind w:firstLine="210" w:firstLineChars="100"/>
              <w:jc w:val="left"/>
              <w:rPr>
                <w:rFonts w:ascii="仿宋" w:hAnsi="仿宋" w:eastAsia="仿宋" w:cs="仿宋"/>
                <w:sz w:val="21"/>
                <w:szCs w:val="21"/>
              </w:rPr>
            </w:pPr>
          </w:p>
        </w:tc>
        <w:tc>
          <w:tcPr>
            <w:tcW w:w="2550" w:type="dxa"/>
            <w:vAlign w:val="center"/>
          </w:tcPr>
          <w:p>
            <w:pPr>
              <w:spacing w:line="280" w:lineRule="exact"/>
              <w:ind w:firstLine="105" w:firstLineChars="50"/>
              <w:rPr>
                <w:rFonts w:ascii="仿宋" w:hAnsi="仿宋" w:eastAsia="仿宋" w:cs="仿宋"/>
                <w:kern w:val="0"/>
                <w:sz w:val="21"/>
                <w:szCs w:val="21"/>
              </w:rPr>
            </w:pPr>
            <w:r>
              <w:rPr>
                <w:rFonts w:hint="eastAsia" w:ascii="仿宋" w:hAnsi="仿宋" w:eastAsia="仿宋" w:cs="仿宋"/>
                <w:kern w:val="0"/>
                <w:sz w:val="21"/>
                <w:szCs w:val="21"/>
              </w:rPr>
              <w:t>1</w:t>
            </w:r>
            <w:r>
              <w:rPr>
                <w:rFonts w:hint="eastAsia" w:ascii="仿宋" w:hAnsi="仿宋" w:eastAsia="仿宋" w:cs="仿宋"/>
                <w:sz w:val="21"/>
                <w:szCs w:val="21"/>
              </w:rPr>
              <w:t>.教学以练为主</w:t>
            </w:r>
            <w:r>
              <w:rPr>
                <w:rFonts w:hint="eastAsia" w:ascii="仿宋" w:hAnsi="仿宋" w:eastAsia="仿宋" w:cs="仿宋"/>
                <w:kern w:val="0"/>
                <w:sz w:val="21"/>
                <w:szCs w:val="21"/>
              </w:rPr>
              <w:t>、内容</w:t>
            </w:r>
            <w:r>
              <w:rPr>
                <w:rFonts w:hint="eastAsia" w:ascii="仿宋" w:hAnsi="仿宋" w:eastAsia="仿宋" w:cs="仿宋"/>
                <w:sz w:val="21"/>
                <w:szCs w:val="21"/>
              </w:rPr>
              <w:t>侧重于短跑、中长跑的常规练习，结合球类训练，开展教学比赛等，</w:t>
            </w:r>
            <w:r>
              <w:rPr>
                <w:rFonts w:hint="eastAsia" w:ascii="仿宋" w:hAnsi="仿宋" w:eastAsia="仿宋" w:cs="仿宋"/>
                <w:kern w:val="0"/>
                <w:sz w:val="21"/>
                <w:szCs w:val="21"/>
              </w:rPr>
              <w:t>让学生提高身体素质的</w:t>
            </w:r>
            <w:r>
              <w:rPr>
                <w:rFonts w:hint="eastAsia" w:ascii="仿宋" w:hAnsi="仿宋" w:eastAsia="仿宋" w:cs="仿宋"/>
                <w:sz w:val="21"/>
                <w:szCs w:val="21"/>
              </w:rPr>
              <w:t>同时</w:t>
            </w:r>
            <w:r>
              <w:rPr>
                <w:rFonts w:hint="eastAsia" w:ascii="仿宋" w:hAnsi="仿宋" w:eastAsia="仿宋" w:cs="仿宋"/>
                <w:kern w:val="0"/>
                <w:sz w:val="21"/>
                <w:szCs w:val="21"/>
              </w:rPr>
              <w:t>，培养学生吃苦耐劳，高尚情操和团结协作。</w:t>
            </w:r>
          </w:p>
          <w:p>
            <w:pPr>
              <w:spacing w:line="280" w:lineRule="exact"/>
              <w:ind w:firstLine="105" w:firstLineChars="50"/>
              <w:rPr>
                <w:rFonts w:ascii="仿宋" w:hAnsi="仿宋" w:eastAsia="仿宋" w:cs="仿宋"/>
                <w:sz w:val="21"/>
                <w:szCs w:val="21"/>
              </w:rPr>
            </w:pPr>
            <w:r>
              <w:rPr>
                <w:rFonts w:hint="eastAsia" w:ascii="仿宋" w:hAnsi="仿宋" w:eastAsia="仿宋" w:cs="仿宋"/>
                <w:kern w:val="0"/>
                <w:sz w:val="21"/>
                <w:szCs w:val="21"/>
              </w:rPr>
              <w:t>2.</w:t>
            </w:r>
            <w:r>
              <w:rPr>
                <w:rFonts w:hint="eastAsia" w:ascii="仿宋" w:hAnsi="仿宋" w:eastAsia="仿宋" w:cs="仿宋"/>
                <w:sz w:val="21"/>
                <w:szCs w:val="21"/>
              </w:rPr>
              <w:t>考试项目：</w:t>
            </w:r>
            <w:r>
              <w:rPr>
                <w:rFonts w:hint="eastAsia" w:ascii="仿宋" w:hAnsi="仿宋" w:eastAsia="仿宋" w:cs="仿宋"/>
                <w:kern w:val="0"/>
                <w:sz w:val="21"/>
                <w:szCs w:val="21"/>
              </w:rPr>
              <w:t>100米、800米、</w:t>
            </w:r>
            <w:r>
              <w:rPr>
                <w:rFonts w:hint="eastAsia" w:ascii="仿宋" w:hAnsi="仿宋" w:eastAsia="仿宋" w:cs="仿宋"/>
                <w:sz w:val="21"/>
                <w:szCs w:val="21"/>
              </w:rPr>
              <w:t>立定跳远、篮球、400米、投掷、技巧。</w:t>
            </w:r>
          </w:p>
        </w:tc>
        <w:tc>
          <w:tcPr>
            <w:tcW w:w="85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9" w:hRule="exact"/>
          <w:jc w:val="center"/>
        </w:trPr>
        <w:tc>
          <w:tcPr>
            <w:tcW w:w="405" w:type="dxa"/>
            <w:tcBorders>
              <w:bottom w:val="single" w:color="auto" w:sz="12" w:space="0"/>
            </w:tcBorders>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9</w:t>
            </w:r>
          </w:p>
        </w:tc>
        <w:tc>
          <w:tcPr>
            <w:tcW w:w="1521" w:type="dxa"/>
            <w:gridSpan w:val="2"/>
            <w:tcBorders>
              <w:bottom w:val="single" w:color="auto" w:sz="12" w:space="0"/>
            </w:tcBorders>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劳动教育</w:t>
            </w:r>
          </w:p>
        </w:tc>
        <w:tc>
          <w:tcPr>
            <w:tcW w:w="2278" w:type="dxa"/>
            <w:tcBorders>
              <w:bottom w:val="single" w:color="auto" w:sz="12" w:space="0"/>
            </w:tcBorders>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1.增强学生职业荣誉感和责任感，提高职业劳动技能水平，培育积极向上的劳动精神和认真负责的劳动态度。</w:t>
            </w:r>
          </w:p>
          <w:p>
            <w:pPr>
              <w:spacing w:line="280" w:lineRule="exact"/>
              <w:jc w:val="left"/>
              <w:rPr>
                <w:rFonts w:ascii="仿宋" w:hAnsi="仿宋" w:eastAsia="仿宋" w:cs="仿宋"/>
                <w:sz w:val="21"/>
                <w:szCs w:val="21"/>
              </w:rPr>
            </w:pPr>
            <w:r>
              <w:rPr>
                <w:rFonts w:hint="eastAsia" w:ascii="仿宋" w:hAnsi="仿宋" w:eastAsia="仿宋" w:cs="仿宋"/>
                <w:sz w:val="21"/>
                <w:szCs w:val="21"/>
              </w:rPr>
              <w:t>2.注重培养学生的敬业精神，吃苦耐劳、团结合作、严谨细致的工作态度。</w:t>
            </w:r>
          </w:p>
          <w:p>
            <w:pPr>
              <w:spacing w:line="280" w:lineRule="exact"/>
              <w:jc w:val="left"/>
              <w:rPr>
                <w:rFonts w:ascii="仿宋" w:hAnsi="仿宋" w:eastAsia="仿宋" w:cs="仿宋"/>
                <w:sz w:val="21"/>
                <w:szCs w:val="21"/>
              </w:rPr>
            </w:pPr>
            <w:r>
              <w:rPr>
                <w:rFonts w:hint="eastAsia" w:ascii="仿宋" w:hAnsi="仿宋" w:eastAsia="仿宋" w:cs="仿宋"/>
                <w:sz w:val="21"/>
                <w:szCs w:val="21"/>
              </w:rPr>
              <w:t>3.树立正确的劳动观点和劳动态度，热爱劳动和劳动人民，养成劳动习惯。</w:t>
            </w:r>
          </w:p>
        </w:tc>
        <w:tc>
          <w:tcPr>
            <w:tcW w:w="1592" w:type="dxa"/>
            <w:tcBorders>
              <w:bottom w:val="single" w:color="auto" w:sz="12" w:space="0"/>
            </w:tcBorders>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劳动思想、劳动知识和劳动技能，劳动习惯，劳动实践</w:t>
            </w:r>
          </w:p>
        </w:tc>
        <w:tc>
          <w:tcPr>
            <w:tcW w:w="2550" w:type="dxa"/>
            <w:tcBorders>
              <w:bottom w:val="single" w:color="auto" w:sz="12" w:space="0"/>
            </w:tcBorders>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强化服务性劳动，与教室、宿舍、食堂、校园场所的卫生保洁、绿化美化和管理服务来开展教育</w:t>
            </w:r>
          </w:p>
          <w:p>
            <w:pPr>
              <w:spacing w:line="280" w:lineRule="exact"/>
              <w:jc w:val="left"/>
              <w:rPr>
                <w:rFonts w:ascii="仿宋" w:hAnsi="仿宋" w:eastAsia="仿宋" w:cs="仿宋"/>
                <w:sz w:val="21"/>
                <w:szCs w:val="21"/>
              </w:rPr>
            </w:pPr>
          </w:p>
          <w:p>
            <w:pPr>
              <w:spacing w:line="280" w:lineRule="exact"/>
              <w:jc w:val="left"/>
              <w:rPr>
                <w:rFonts w:ascii="仿宋" w:hAnsi="仿宋" w:eastAsia="仿宋" w:cs="仿宋"/>
                <w:sz w:val="21"/>
                <w:szCs w:val="21"/>
              </w:rPr>
            </w:pPr>
          </w:p>
        </w:tc>
        <w:tc>
          <w:tcPr>
            <w:tcW w:w="855" w:type="dxa"/>
            <w:tcBorders>
              <w:bottom w:val="single" w:color="auto" w:sz="12" w:space="0"/>
            </w:tcBorders>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30</w:t>
            </w:r>
          </w:p>
        </w:tc>
      </w:tr>
    </w:tbl>
    <w:p>
      <w:pPr>
        <w:adjustRightInd w:val="0"/>
        <w:snapToGrid w:val="0"/>
        <w:spacing w:line="600" w:lineRule="exact"/>
        <w:outlineLvl w:val="0"/>
        <w:rPr>
          <w:rFonts w:ascii="仿宋_GB2312" w:hAnsi="黑体"/>
          <w:color w:val="000000"/>
          <w:sz w:val="32"/>
        </w:rPr>
      </w:pPr>
      <w:r>
        <w:rPr>
          <w:rFonts w:hint="eastAsia" w:ascii="仿宋_GB2312" w:hAnsi="黑体"/>
          <w:color w:val="000000"/>
          <w:sz w:val="32"/>
        </w:rPr>
        <w:t>（二）专业基础课</w:t>
      </w:r>
    </w:p>
    <w:tbl>
      <w:tblPr>
        <w:tblStyle w:val="7"/>
        <w:tblW w:w="92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36"/>
        <w:gridCol w:w="2700"/>
        <w:gridCol w:w="1800"/>
        <w:gridCol w:w="2625"/>
        <w:gridCol w:w="8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555" w:type="dxa"/>
            <w:tcBorders>
              <w:top w:val="single" w:color="auto" w:sz="12" w:space="0"/>
            </w:tcBorders>
            <w:shd w:val="clear" w:color="auto" w:fill="E6E6E6"/>
            <w:vAlign w:val="center"/>
          </w:tcPr>
          <w:p>
            <w:pPr>
              <w:jc w:val="center"/>
              <w:rPr>
                <w:b/>
                <w:sz w:val="24"/>
                <w:szCs w:val="24"/>
              </w:rPr>
            </w:pPr>
            <w:r>
              <w:rPr>
                <w:b/>
                <w:sz w:val="24"/>
                <w:szCs w:val="24"/>
              </w:rPr>
              <w:t>序号</w:t>
            </w:r>
          </w:p>
        </w:tc>
        <w:tc>
          <w:tcPr>
            <w:tcW w:w="736" w:type="dxa"/>
            <w:tcBorders>
              <w:top w:val="single" w:color="auto" w:sz="12" w:space="0"/>
            </w:tcBorders>
            <w:shd w:val="clear" w:color="auto" w:fill="E6E6E6"/>
            <w:vAlign w:val="center"/>
          </w:tcPr>
          <w:p>
            <w:pPr>
              <w:jc w:val="center"/>
              <w:rPr>
                <w:b/>
                <w:sz w:val="24"/>
                <w:szCs w:val="24"/>
              </w:rPr>
            </w:pPr>
            <w:r>
              <w:rPr>
                <w:b/>
                <w:sz w:val="24"/>
                <w:szCs w:val="24"/>
              </w:rPr>
              <w:t>课程名称</w:t>
            </w:r>
          </w:p>
        </w:tc>
        <w:tc>
          <w:tcPr>
            <w:tcW w:w="2700" w:type="dxa"/>
            <w:tcBorders>
              <w:top w:val="single" w:color="auto" w:sz="12" w:space="0"/>
            </w:tcBorders>
            <w:shd w:val="clear" w:color="auto" w:fill="E6E6E6"/>
            <w:vAlign w:val="center"/>
          </w:tcPr>
          <w:p>
            <w:pPr>
              <w:jc w:val="center"/>
              <w:rPr>
                <w:b/>
                <w:sz w:val="24"/>
                <w:szCs w:val="24"/>
              </w:rPr>
            </w:pPr>
            <w:r>
              <w:rPr>
                <w:rFonts w:hint="eastAsia"/>
                <w:b/>
                <w:sz w:val="24"/>
                <w:szCs w:val="24"/>
              </w:rPr>
              <w:t>教学目标</w:t>
            </w:r>
          </w:p>
        </w:tc>
        <w:tc>
          <w:tcPr>
            <w:tcW w:w="1800" w:type="dxa"/>
            <w:tcBorders>
              <w:top w:val="single" w:color="auto" w:sz="12" w:space="0"/>
            </w:tcBorders>
            <w:shd w:val="clear" w:color="auto" w:fill="E6E6E6"/>
            <w:vAlign w:val="center"/>
          </w:tcPr>
          <w:p>
            <w:pPr>
              <w:jc w:val="center"/>
              <w:rPr>
                <w:b/>
                <w:sz w:val="24"/>
                <w:szCs w:val="24"/>
              </w:rPr>
            </w:pPr>
            <w:r>
              <w:rPr>
                <w:rFonts w:hint="eastAsia"/>
                <w:b/>
                <w:sz w:val="24"/>
                <w:szCs w:val="24"/>
              </w:rPr>
              <w:t>主要教学内容</w:t>
            </w:r>
          </w:p>
        </w:tc>
        <w:tc>
          <w:tcPr>
            <w:tcW w:w="2625" w:type="dxa"/>
            <w:tcBorders>
              <w:top w:val="single" w:color="auto" w:sz="12" w:space="0"/>
            </w:tcBorders>
            <w:shd w:val="clear" w:color="auto" w:fill="E6E6E6"/>
            <w:vAlign w:val="center"/>
          </w:tcPr>
          <w:p>
            <w:pPr>
              <w:jc w:val="center"/>
              <w:rPr>
                <w:b/>
                <w:sz w:val="24"/>
                <w:szCs w:val="24"/>
              </w:rPr>
            </w:pPr>
            <w:r>
              <w:rPr>
                <w:rFonts w:hint="eastAsia"/>
                <w:b/>
                <w:sz w:val="24"/>
                <w:szCs w:val="24"/>
              </w:rPr>
              <w:t>教学要求与建议</w:t>
            </w:r>
          </w:p>
        </w:tc>
        <w:tc>
          <w:tcPr>
            <w:tcW w:w="840" w:type="dxa"/>
            <w:tcBorders>
              <w:top w:val="single" w:color="auto" w:sz="12" w:space="0"/>
            </w:tcBorders>
            <w:shd w:val="clear" w:color="auto" w:fill="E6E6E6"/>
            <w:vAlign w:val="center"/>
          </w:tcPr>
          <w:p>
            <w:pPr>
              <w:jc w:val="center"/>
              <w:rPr>
                <w:b/>
                <w:sz w:val="24"/>
                <w:szCs w:val="24"/>
              </w:rPr>
            </w:pPr>
            <w:r>
              <w:rPr>
                <w:b/>
                <w:sz w:val="24"/>
                <w:szCs w:val="24"/>
              </w:rPr>
              <w:t>参考</w:t>
            </w:r>
          </w:p>
          <w:p>
            <w:pPr>
              <w:jc w:val="center"/>
              <w:rPr>
                <w:b/>
                <w:sz w:val="24"/>
                <w:szCs w:val="24"/>
              </w:rPr>
            </w:pPr>
            <w:r>
              <w:rPr>
                <w:b/>
                <w:sz w:val="24"/>
                <w:szCs w:val="24"/>
              </w:rPr>
              <w:t>学时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08" w:hRule="exact"/>
          <w:jc w:val="center"/>
        </w:trPr>
        <w:tc>
          <w:tcPr>
            <w:tcW w:w="555" w:type="dxa"/>
            <w:vAlign w:val="center"/>
          </w:tcPr>
          <w:p>
            <w:pPr>
              <w:jc w:val="center"/>
              <w:rPr>
                <w:bCs/>
                <w:sz w:val="24"/>
                <w:szCs w:val="24"/>
              </w:rPr>
            </w:pPr>
            <w:r>
              <w:rPr>
                <w:rFonts w:hint="eastAsia"/>
                <w:bCs/>
                <w:sz w:val="24"/>
                <w:szCs w:val="24"/>
              </w:rPr>
              <w:t>1</w:t>
            </w:r>
          </w:p>
        </w:tc>
        <w:tc>
          <w:tcPr>
            <w:tcW w:w="736" w:type="dxa"/>
            <w:vAlign w:val="center"/>
          </w:tcPr>
          <w:p>
            <w:pPr>
              <w:spacing w:line="300" w:lineRule="exact"/>
              <w:jc w:val="center"/>
              <w:rPr>
                <w:bCs/>
                <w:sz w:val="21"/>
                <w:szCs w:val="21"/>
              </w:rPr>
            </w:pPr>
            <w:r>
              <w:rPr>
                <w:rFonts w:hint="eastAsia"/>
                <w:bCs/>
                <w:sz w:val="21"/>
                <w:szCs w:val="21"/>
              </w:rPr>
              <w:t>无机化学与实验</w:t>
            </w:r>
          </w:p>
        </w:tc>
        <w:tc>
          <w:tcPr>
            <w:tcW w:w="2700" w:type="dxa"/>
            <w:vAlign w:val="center"/>
          </w:tcPr>
          <w:p>
            <w:pPr>
              <w:spacing w:line="280" w:lineRule="exact"/>
              <w:rPr>
                <w:rFonts w:ascii="仿宋" w:hAnsi="仿宋" w:eastAsia="仿宋" w:cs="仿宋"/>
                <w:sz w:val="21"/>
                <w:szCs w:val="21"/>
              </w:rPr>
            </w:pPr>
            <w:r>
              <w:rPr>
                <w:rFonts w:hint="eastAsia" w:ascii="仿宋" w:hAnsi="仿宋" w:eastAsia="仿宋" w:cs="仿宋"/>
                <w:sz w:val="21"/>
                <w:szCs w:val="21"/>
              </w:rPr>
              <w:t>了解无机化学的基本概念、基本理论和基本化学计算，掌握重要元素及化合物的性质，并通过自己动手实验来验证，培养学生具备独立进行实验工作的初步能力，为后续的课程、科学研究和今后参加实际工作打下良好的化学基础。培养安全环保、责任担当意识。</w:t>
            </w:r>
          </w:p>
          <w:p>
            <w:pPr>
              <w:spacing w:line="280" w:lineRule="exact"/>
              <w:ind w:firstLine="210" w:firstLineChars="100"/>
              <w:jc w:val="center"/>
              <w:rPr>
                <w:rFonts w:ascii="仿宋" w:hAnsi="仿宋" w:eastAsia="仿宋" w:cs="仿宋"/>
                <w:sz w:val="21"/>
                <w:szCs w:val="21"/>
              </w:rPr>
            </w:pPr>
          </w:p>
        </w:tc>
        <w:tc>
          <w:tcPr>
            <w:tcW w:w="1800" w:type="dxa"/>
            <w:vAlign w:val="center"/>
          </w:tcPr>
          <w:p>
            <w:pPr>
              <w:spacing w:line="280" w:lineRule="exact"/>
              <w:ind w:firstLine="210" w:firstLineChars="100"/>
              <w:jc w:val="center"/>
              <w:rPr>
                <w:rFonts w:ascii="仿宋" w:hAnsi="仿宋" w:eastAsia="仿宋" w:cs="仿宋"/>
                <w:sz w:val="21"/>
                <w:szCs w:val="21"/>
              </w:rPr>
            </w:pPr>
            <w:r>
              <w:rPr>
                <w:rFonts w:hint="eastAsia" w:ascii="仿宋" w:hAnsi="仿宋" w:eastAsia="仿宋" w:cs="仿宋"/>
                <w:sz w:val="21"/>
                <w:szCs w:val="21"/>
              </w:rPr>
              <w:t>物质的量、气体定律、卤素、碱金属、物质结构 元素周期律、几种非金属及其化合物、化学反应速率和化学平衡、电解质溶液、氧化还原反应和电化学、几种金属及其化合物等。</w:t>
            </w:r>
          </w:p>
        </w:tc>
        <w:tc>
          <w:tcPr>
            <w:tcW w:w="2625" w:type="dxa"/>
            <w:vAlign w:val="center"/>
          </w:tcPr>
          <w:p>
            <w:pPr>
              <w:widowControl/>
              <w:spacing w:line="280" w:lineRule="exact"/>
              <w:rPr>
                <w:rFonts w:ascii="仿宋" w:hAnsi="仿宋" w:eastAsia="仿宋" w:cs="仿宋"/>
                <w:kern w:val="0"/>
                <w:sz w:val="21"/>
                <w:szCs w:val="21"/>
              </w:rPr>
            </w:pPr>
            <w:r>
              <w:rPr>
                <w:rFonts w:hint="eastAsia" w:ascii="仿宋" w:hAnsi="仿宋" w:eastAsia="仿宋" w:cs="仿宋"/>
                <w:sz w:val="21"/>
                <w:szCs w:val="21"/>
              </w:rPr>
              <w:t>1.</w:t>
            </w:r>
            <w:r>
              <w:rPr>
                <w:rFonts w:hint="eastAsia" w:ascii="仿宋" w:hAnsi="仿宋" w:eastAsia="仿宋" w:cs="仿宋"/>
                <w:kern w:val="0"/>
                <w:sz w:val="21"/>
                <w:szCs w:val="21"/>
              </w:rPr>
              <w:t>注意理论联系实际，通过学情分析适当增减教学内容。</w:t>
            </w:r>
          </w:p>
          <w:p>
            <w:pPr>
              <w:widowControl/>
              <w:spacing w:line="280" w:lineRule="exact"/>
              <w:rPr>
                <w:rFonts w:ascii="仿宋" w:hAnsi="仿宋" w:eastAsia="仿宋" w:cs="仿宋"/>
                <w:kern w:val="0"/>
                <w:sz w:val="21"/>
                <w:szCs w:val="21"/>
              </w:rPr>
            </w:pPr>
            <w:r>
              <w:rPr>
                <w:rFonts w:hint="eastAsia" w:ascii="仿宋" w:hAnsi="仿宋" w:eastAsia="仿宋" w:cs="仿宋"/>
                <w:kern w:val="0"/>
                <w:sz w:val="21"/>
                <w:szCs w:val="21"/>
              </w:rPr>
              <w:t>2.可适当采用行动导向教学法，设计3～4个教学单元，以学生为主体，充分调动学生学习的主动性、积极性。</w:t>
            </w:r>
          </w:p>
          <w:p>
            <w:pPr>
              <w:widowControl/>
              <w:spacing w:line="280" w:lineRule="exact"/>
              <w:rPr>
                <w:rFonts w:ascii="仿宋" w:hAnsi="仿宋" w:eastAsia="仿宋" w:cs="仿宋"/>
                <w:kern w:val="0"/>
                <w:sz w:val="21"/>
                <w:szCs w:val="21"/>
              </w:rPr>
            </w:pPr>
            <w:r>
              <w:rPr>
                <w:rFonts w:hint="eastAsia" w:ascii="仿宋" w:hAnsi="仿宋" w:eastAsia="仿宋" w:cs="仿宋"/>
                <w:kern w:val="0"/>
                <w:sz w:val="21"/>
                <w:szCs w:val="21"/>
              </w:rPr>
              <w:t>3.教学应多采用教具、实物、演示实验，以增强学生的感性认识，启迪学生的科学思维。</w:t>
            </w:r>
          </w:p>
          <w:p>
            <w:pPr>
              <w:widowControl/>
              <w:spacing w:line="280" w:lineRule="exact"/>
              <w:rPr>
                <w:rFonts w:ascii="仿宋" w:hAnsi="仿宋" w:eastAsia="仿宋" w:cs="仿宋"/>
                <w:kern w:val="0"/>
                <w:sz w:val="21"/>
                <w:szCs w:val="21"/>
              </w:rPr>
            </w:pPr>
            <w:r>
              <w:rPr>
                <w:rFonts w:hint="eastAsia" w:ascii="仿宋" w:hAnsi="仿宋" w:eastAsia="仿宋" w:cs="仿宋"/>
                <w:kern w:val="0"/>
                <w:sz w:val="21"/>
                <w:szCs w:val="21"/>
              </w:rPr>
              <w:t>4.加强化学基本计算能力的训练。</w:t>
            </w:r>
          </w:p>
          <w:p>
            <w:pPr>
              <w:spacing w:line="280" w:lineRule="exact"/>
              <w:jc w:val="left"/>
              <w:rPr>
                <w:rFonts w:ascii="仿宋" w:hAnsi="仿宋" w:eastAsia="仿宋" w:cs="仿宋"/>
                <w:sz w:val="21"/>
                <w:szCs w:val="21"/>
              </w:rPr>
            </w:pPr>
            <w:r>
              <w:rPr>
                <w:rFonts w:hint="eastAsia" w:ascii="仿宋" w:hAnsi="仿宋" w:eastAsia="仿宋" w:cs="仿宋"/>
                <w:kern w:val="0"/>
                <w:sz w:val="21"/>
                <w:szCs w:val="21"/>
              </w:rPr>
              <w:t>5.考核方法：开卷、闭卷或实验。</w:t>
            </w:r>
          </w:p>
        </w:tc>
        <w:tc>
          <w:tcPr>
            <w:tcW w:w="840"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3" w:hRule="exact"/>
          <w:jc w:val="center"/>
        </w:trPr>
        <w:tc>
          <w:tcPr>
            <w:tcW w:w="555" w:type="dxa"/>
            <w:vAlign w:val="center"/>
          </w:tcPr>
          <w:p>
            <w:pPr>
              <w:jc w:val="center"/>
              <w:rPr>
                <w:bCs/>
                <w:sz w:val="24"/>
                <w:szCs w:val="24"/>
              </w:rPr>
            </w:pPr>
            <w:r>
              <w:rPr>
                <w:rFonts w:hint="eastAsia"/>
                <w:bCs/>
                <w:sz w:val="24"/>
                <w:szCs w:val="24"/>
              </w:rPr>
              <w:t>2</w:t>
            </w:r>
          </w:p>
        </w:tc>
        <w:tc>
          <w:tcPr>
            <w:tcW w:w="736" w:type="dxa"/>
            <w:vAlign w:val="center"/>
          </w:tcPr>
          <w:p>
            <w:pPr>
              <w:spacing w:line="300" w:lineRule="exact"/>
              <w:jc w:val="center"/>
              <w:rPr>
                <w:bCs/>
                <w:sz w:val="21"/>
                <w:szCs w:val="21"/>
              </w:rPr>
            </w:pPr>
            <w:r>
              <w:rPr>
                <w:rFonts w:hint="eastAsia"/>
                <w:bCs/>
                <w:sz w:val="21"/>
                <w:szCs w:val="21"/>
              </w:rPr>
              <w:t>有机化学与实验</w:t>
            </w:r>
          </w:p>
        </w:tc>
        <w:tc>
          <w:tcPr>
            <w:tcW w:w="2700"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了解有机学的基本概念、基本理论等基本知识，掌握重要烃及其衍生物的性质和用途，并通过自己动手实验来验证，培养学生独立工作能力，培养其严格认真和实事求是的良好习惯。</w:t>
            </w:r>
          </w:p>
          <w:p>
            <w:pPr>
              <w:spacing w:line="280" w:lineRule="exact"/>
              <w:ind w:firstLine="210" w:firstLineChars="100"/>
              <w:jc w:val="center"/>
              <w:rPr>
                <w:rFonts w:ascii="仿宋" w:hAnsi="仿宋" w:eastAsia="仿宋" w:cs="仿宋"/>
                <w:sz w:val="21"/>
                <w:szCs w:val="21"/>
              </w:rPr>
            </w:pPr>
          </w:p>
        </w:tc>
        <w:tc>
          <w:tcPr>
            <w:tcW w:w="1800" w:type="dxa"/>
            <w:vAlign w:val="center"/>
          </w:tcPr>
          <w:p>
            <w:pPr>
              <w:spacing w:line="280" w:lineRule="exact"/>
              <w:rPr>
                <w:rFonts w:ascii="仿宋" w:hAnsi="仿宋" w:eastAsia="仿宋" w:cs="仿宋"/>
                <w:sz w:val="21"/>
                <w:szCs w:val="21"/>
              </w:rPr>
            </w:pPr>
            <w:r>
              <w:rPr>
                <w:rFonts w:hint="eastAsia" w:ascii="仿宋" w:hAnsi="仿宋" w:eastAsia="仿宋" w:cs="仿宋"/>
                <w:sz w:val="21"/>
                <w:szCs w:val="21"/>
              </w:rPr>
              <w:t>饱和烃、不饱和烃、脂肪烃、芳香烃、卤代烃、醇、酚和醚、醛和酮、羧酸及其衍生物、含氮有机化合物等。</w:t>
            </w:r>
          </w:p>
          <w:p>
            <w:pPr>
              <w:spacing w:line="280" w:lineRule="exact"/>
              <w:ind w:firstLine="210" w:firstLineChars="100"/>
              <w:jc w:val="center"/>
              <w:rPr>
                <w:rFonts w:ascii="仿宋" w:hAnsi="仿宋" w:eastAsia="仿宋" w:cs="仿宋"/>
                <w:sz w:val="21"/>
                <w:szCs w:val="21"/>
              </w:rPr>
            </w:pPr>
          </w:p>
        </w:tc>
        <w:tc>
          <w:tcPr>
            <w:tcW w:w="2625" w:type="dxa"/>
            <w:vAlign w:val="center"/>
          </w:tcPr>
          <w:p>
            <w:pPr>
              <w:widowControl/>
              <w:spacing w:line="280" w:lineRule="exact"/>
              <w:rPr>
                <w:rFonts w:ascii="仿宋" w:hAnsi="仿宋" w:eastAsia="仿宋" w:cs="仿宋"/>
                <w:kern w:val="0"/>
                <w:sz w:val="21"/>
                <w:szCs w:val="21"/>
              </w:rPr>
            </w:pPr>
            <w:r>
              <w:rPr>
                <w:rFonts w:hint="eastAsia" w:ascii="仿宋" w:hAnsi="仿宋" w:eastAsia="仿宋" w:cs="仿宋"/>
                <w:kern w:val="0"/>
                <w:sz w:val="21"/>
                <w:szCs w:val="21"/>
              </w:rPr>
              <w:t>1.应关注专业新发展动向，适当增减教学内容。</w:t>
            </w:r>
          </w:p>
          <w:p>
            <w:pPr>
              <w:widowControl/>
              <w:spacing w:line="280" w:lineRule="exact"/>
              <w:rPr>
                <w:rFonts w:ascii="仿宋" w:hAnsi="仿宋" w:eastAsia="仿宋" w:cs="仿宋"/>
                <w:kern w:val="0"/>
                <w:sz w:val="21"/>
                <w:szCs w:val="21"/>
              </w:rPr>
            </w:pPr>
            <w:r>
              <w:rPr>
                <w:rFonts w:hint="eastAsia" w:ascii="仿宋" w:hAnsi="仿宋" w:eastAsia="仿宋" w:cs="仿宋"/>
                <w:kern w:val="0"/>
                <w:sz w:val="21"/>
                <w:szCs w:val="21"/>
              </w:rPr>
              <w:t>2.选择难度较小的内容采用行动导向教学法进行教学，设计3～4个教学单元，激发学生的学习兴趣。</w:t>
            </w:r>
          </w:p>
          <w:p>
            <w:pPr>
              <w:widowControl/>
              <w:spacing w:line="280" w:lineRule="exact"/>
              <w:rPr>
                <w:rFonts w:ascii="仿宋" w:hAnsi="仿宋" w:eastAsia="仿宋" w:cs="仿宋"/>
                <w:kern w:val="0"/>
                <w:sz w:val="21"/>
                <w:szCs w:val="21"/>
              </w:rPr>
            </w:pPr>
            <w:r>
              <w:rPr>
                <w:rFonts w:hint="eastAsia" w:ascii="仿宋" w:hAnsi="仿宋" w:eastAsia="仿宋" w:cs="仿宋"/>
                <w:kern w:val="0"/>
                <w:sz w:val="21"/>
                <w:szCs w:val="21"/>
              </w:rPr>
              <w:t>3.教学应多采用教具、实物、演示实验，以增强学生的感性认识，启迪学生的科学思维。</w:t>
            </w:r>
          </w:p>
          <w:p>
            <w:pPr>
              <w:spacing w:line="280" w:lineRule="exact"/>
              <w:rPr>
                <w:rFonts w:ascii="仿宋" w:hAnsi="仿宋" w:eastAsia="仿宋" w:cs="仿宋"/>
                <w:sz w:val="21"/>
                <w:szCs w:val="21"/>
              </w:rPr>
            </w:pPr>
            <w:r>
              <w:rPr>
                <w:rFonts w:hint="eastAsia" w:ascii="仿宋" w:hAnsi="仿宋" w:eastAsia="仿宋" w:cs="仿宋"/>
                <w:kern w:val="0"/>
                <w:sz w:val="21"/>
                <w:szCs w:val="21"/>
              </w:rPr>
              <w:t>4.考核方法：开卷、闭卷或实验。</w:t>
            </w:r>
          </w:p>
        </w:tc>
        <w:tc>
          <w:tcPr>
            <w:tcW w:w="840" w:type="dxa"/>
            <w:vAlign w:val="center"/>
          </w:tcPr>
          <w:p>
            <w:pPr>
              <w:spacing w:line="280" w:lineRule="exact"/>
              <w:jc w:val="center"/>
              <w:rPr>
                <w:rFonts w:ascii="仿宋" w:hAnsi="仿宋" w:eastAsia="仿宋" w:cs="仿宋"/>
                <w:kern w:val="0"/>
                <w:sz w:val="21"/>
                <w:szCs w:val="21"/>
                <w:highlight w:val="yellow"/>
              </w:rPr>
            </w:pPr>
            <w:r>
              <w:rPr>
                <w:rFonts w:hint="eastAsia" w:ascii="仿宋" w:hAnsi="仿宋" w:eastAsia="仿宋" w:cs="仿宋"/>
                <w:sz w:val="21"/>
                <w:szCs w:val="21"/>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48" w:hRule="exact"/>
          <w:jc w:val="center"/>
        </w:trPr>
        <w:tc>
          <w:tcPr>
            <w:tcW w:w="555" w:type="dxa"/>
            <w:vAlign w:val="center"/>
          </w:tcPr>
          <w:p>
            <w:pPr>
              <w:jc w:val="center"/>
              <w:rPr>
                <w:bCs/>
                <w:sz w:val="24"/>
                <w:szCs w:val="24"/>
              </w:rPr>
            </w:pPr>
            <w:r>
              <w:rPr>
                <w:rFonts w:hint="eastAsia"/>
                <w:bCs/>
                <w:sz w:val="24"/>
                <w:szCs w:val="24"/>
              </w:rPr>
              <w:t>3</w:t>
            </w:r>
          </w:p>
        </w:tc>
        <w:tc>
          <w:tcPr>
            <w:tcW w:w="736" w:type="dxa"/>
            <w:vAlign w:val="center"/>
          </w:tcPr>
          <w:p>
            <w:pPr>
              <w:jc w:val="center"/>
              <w:rPr>
                <w:bCs/>
                <w:sz w:val="21"/>
                <w:szCs w:val="21"/>
              </w:rPr>
            </w:pPr>
            <w:r>
              <w:rPr>
                <w:rFonts w:hint="eastAsia"/>
                <w:bCs/>
                <w:sz w:val="21"/>
                <w:szCs w:val="21"/>
              </w:rPr>
              <w:t>实验室安全技术</w:t>
            </w:r>
          </w:p>
        </w:tc>
        <w:tc>
          <w:tcPr>
            <w:tcW w:w="2700"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掌握实验室知识，安全保护措施，用电安全，废弃物的处理和实验室安全管理，培养安全环保、责任担当意识。</w:t>
            </w:r>
          </w:p>
        </w:tc>
        <w:tc>
          <w:tcPr>
            <w:tcW w:w="1800" w:type="dxa"/>
            <w:vAlign w:val="center"/>
          </w:tcPr>
          <w:p>
            <w:pPr>
              <w:spacing w:line="280" w:lineRule="exact"/>
              <w:rPr>
                <w:rFonts w:ascii="仿宋" w:hAnsi="仿宋" w:eastAsia="仿宋" w:cs="仿宋"/>
                <w:sz w:val="21"/>
                <w:szCs w:val="21"/>
              </w:rPr>
            </w:pPr>
            <w:r>
              <w:rPr>
                <w:rFonts w:hint="eastAsia" w:ascii="仿宋" w:hAnsi="仿宋" w:eastAsia="仿宋" w:cs="仿宋"/>
                <w:sz w:val="21"/>
                <w:szCs w:val="21"/>
              </w:rPr>
              <w:t>实验室个人安全防护知识；安全标识；实验室危险源；安全保护措施；实验室用电安全；实验室废弃物处理；实验室安全管理。</w:t>
            </w:r>
          </w:p>
          <w:p>
            <w:pPr>
              <w:spacing w:line="280" w:lineRule="exact"/>
              <w:ind w:firstLine="210" w:firstLineChars="100"/>
              <w:jc w:val="center"/>
              <w:rPr>
                <w:rFonts w:ascii="仿宋" w:hAnsi="仿宋" w:eastAsia="仿宋" w:cs="仿宋"/>
                <w:sz w:val="21"/>
                <w:szCs w:val="21"/>
              </w:rPr>
            </w:pPr>
          </w:p>
        </w:tc>
        <w:tc>
          <w:tcPr>
            <w:tcW w:w="2625" w:type="dxa"/>
            <w:vAlign w:val="center"/>
          </w:tcPr>
          <w:p>
            <w:pPr>
              <w:widowControl/>
              <w:spacing w:line="280" w:lineRule="exact"/>
              <w:rPr>
                <w:rFonts w:ascii="仿宋" w:hAnsi="仿宋" w:eastAsia="仿宋" w:cs="仿宋"/>
                <w:kern w:val="0"/>
                <w:sz w:val="21"/>
                <w:szCs w:val="21"/>
              </w:rPr>
            </w:pPr>
            <w:r>
              <w:rPr>
                <w:rFonts w:hint="eastAsia" w:ascii="仿宋" w:hAnsi="仿宋" w:eastAsia="仿宋" w:cs="仿宋"/>
                <w:kern w:val="0"/>
                <w:sz w:val="21"/>
                <w:szCs w:val="21"/>
              </w:rPr>
              <w:t>1.以实验室安全技术操作中的典型工作任务为载体，实行“教、学、做”理实一体的项目化教学形式。</w:t>
            </w:r>
          </w:p>
          <w:p>
            <w:pPr>
              <w:widowControl/>
              <w:spacing w:line="280" w:lineRule="exact"/>
              <w:rPr>
                <w:rFonts w:ascii="仿宋" w:hAnsi="仿宋" w:eastAsia="仿宋" w:cs="仿宋"/>
                <w:sz w:val="21"/>
                <w:szCs w:val="21"/>
              </w:rPr>
            </w:pPr>
            <w:r>
              <w:rPr>
                <w:rFonts w:hint="eastAsia" w:ascii="仿宋" w:hAnsi="仿宋" w:eastAsia="仿宋" w:cs="仿宋"/>
                <w:kern w:val="0"/>
                <w:sz w:val="21"/>
                <w:szCs w:val="21"/>
              </w:rPr>
              <w:t>2.按照教学和认识规律，在教学内容组织上遵循螺旋式递进训练。</w:t>
            </w:r>
          </w:p>
        </w:tc>
        <w:tc>
          <w:tcPr>
            <w:tcW w:w="840"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3" w:hRule="exact"/>
          <w:jc w:val="center"/>
        </w:trPr>
        <w:tc>
          <w:tcPr>
            <w:tcW w:w="555" w:type="dxa"/>
            <w:vAlign w:val="center"/>
          </w:tcPr>
          <w:p>
            <w:pPr>
              <w:jc w:val="center"/>
              <w:rPr>
                <w:bCs/>
                <w:sz w:val="24"/>
                <w:szCs w:val="24"/>
              </w:rPr>
            </w:pPr>
            <w:r>
              <w:rPr>
                <w:rFonts w:hint="eastAsia"/>
                <w:bCs/>
                <w:sz w:val="24"/>
                <w:szCs w:val="24"/>
              </w:rPr>
              <w:t>4</w:t>
            </w:r>
          </w:p>
        </w:tc>
        <w:tc>
          <w:tcPr>
            <w:tcW w:w="736" w:type="dxa"/>
            <w:vAlign w:val="center"/>
          </w:tcPr>
          <w:p>
            <w:pPr>
              <w:jc w:val="center"/>
              <w:rPr>
                <w:bCs/>
                <w:sz w:val="21"/>
                <w:szCs w:val="21"/>
              </w:rPr>
            </w:pPr>
            <w:r>
              <w:rPr>
                <w:rFonts w:hint="eastAsia"/>
                <w:bCs/>
                <w:sz w:val="21"/>
                <w:szCs w:val="21"/>
              </w:rPr>
              <w:t>化验组织与管理</w:t>
            </w:r>
          </w:p>
        </w:tc>
        <w:tc>
          <w:tcPr>
            <w:tcW w:w="2700"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掌握实验室知识；安全保护措施；用电安全；废弃物的处理和实验室安全管理，培养安全环保、责任担当意识。</w:t>
            </w:r>
          </w:p>
        </w:tc>
        <w:tc>
          <w:tcPr>
            <w:tcW w:w="1800"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实验室个人安全防护知识；安全标识；实验室危险源；安全保护措施；实验室用电安全；实验室废弃物处理；实验室安全管理。</w:t>
            </w:r>
          </w:p>
        </w:tc>
        <w:tc>
          <w:tcPr>
            <w:tcW w:w="2625" w:type="dxa"/>
            <w:vAlign w:val="center"/>
          </w:tcPr>
          <w:p>
            <w:pPr>
              <w:spacing w:line="280" w:lineRule="exact"/>
              <w:rPr>
                <w:rFonts w:ascii="仿宋" w:hAnsi="仿宋" w:eastAsia="仿宋" w:cs="仿宋"/>
                <w:sz w:val="21"/>
                <w:szCs w:val="21"/>
              </w:rPr>
            </w:pPr>
            <w:r>
              <w:rPr>
                <w:rFonts w:hint="eastAsia" w:ascii="仿宋" w:hAnsi="仿宋" w:eastAsia="仿宋" w:cs="仿宋"/>
                <w:sz w:val="21"/>
                <w:szCs w:val="21"/>
              </w:rPr>
              <w:t>1.以实验室安全技术操作中的典型工作任务为载体，实行“教、学、做”理实一体的项目化教学形式。</w:t>
            </w:r>
          </w:p>
          <w:p>
            <w:pPr>
              <w:spacing w:line="280" w:lineRule="exact"/>
              <w:rPr>
                <w:rFonts w:ascii="仿宋" w:hAnsi="仿宋" w:eastAsia="仿宋" w:cs="仿宋"/>
                <w:sz w:val="21"/>
                <w:szCs w:val="21"/>
              </w:rPr>
            </w:pPr>
            <w:r>
              <w:rPr>
                <w:rFonts w:hint="eastAsia" w:ascii="仿宋" w:hAnsi="仿宋" w:eastAsia="仿宋" w:cs="仿宋"/>
                <w:sz w:val="21"/>
                <w:szCs w:val="21"/>
              </w:rPr>
              <w:t>2.按照教学和认识规律，在教学内容组织上遵循螺旋式递进训练。</w:t>
            </w:r>
          </w:p>
        </w:tc>
        <w:tc>
          <w:tcPr>
            <w:tcW w:w="840"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3" w:hRule="exact"/>
          <w:jc w:val="center"/>
        </w:trPr>
        <w:tc>
          <w:tcPr>
            <w:tcW w:w="555" w:type="dxa"/>
            <w:vAlign w:val="center"/>
          </w:tcPr>
          <w:p>
            <w:pPr>
              <w:jc w:val="center"/>
              <w:rPr>
                <w:bCs/>
                <w:sz w:val="24"/>
                <w:szCs w:val="24"/>
              </w:rPr>
            </w:pPr>
            <w:r>
              <w:rPr>
                <w:rFonts w:hint="eastAsia"/>
                <w:bCs/>
                <w:sz w:val="24"/>
                <w:szCs w:val="24"/>
              </w:rPr>
              <w:t>5</w:t>
            </w:r>
          </w:p>
        </w:tc>
        <w:tc>
          <w:tcPr>
            <w:tcW w:w="736" w:type="dxa"/>
            <w:vAlign w:val="center"/>
          </w:tcPr>
          <w:p>
            <w:pPr>
              <w:spacing w:line="280" w:lineRule="exact"/>
              <w:rPr>
                <w:rFonts w:ascii="仿宋" w:hAnsi="仿宋" w:eastAsia="仿宋" w:cs="仿宋"/>
                <w:sz w:val="21"/>
                <w:szCs w:val="21"/>
              </w:rPr>
            </w:pPr>
            <w:r>
              <w:rPr>
                <w:rFonts w:hint="eastAsia" w:ascii="仿宋" w:hAnsi="仿宋" w:eastAsia="仿宋" w:cs="仿宋"/>
                <w:sz w:val="21"/>
                <w:szCs w:val="21"/>
              </w:rPr>
              <w:t>计量与标准化基础知识</w:t>
            </w:r>
          </w:p>
        </w:tc>
        <w:tc>
          <w:tcPr>
            <w:tcW w:w="2700" w:type="dxa"/>
            <w:vAlign w:val="center"/>
          </w:tcPr>
          <w:p>
            <w:pPr>
              <w:spacing w:line="280" w:lineRule="exact"/>
              <w:rPr>
                <w:rFonts w:ascii="仿宋" w:hAnsi="仿宋" w:eastAsia="仿宋" w:cs="仿宋"/>
                <w:sz w:val="21"/>
                <w:szCs w:val="21"/>
              </w:rPr>
            </w:pPr>
            <w:r>
              <w:rPr>
                <w:rFonts w:hint="eastAsia" w:ascii="仿宋" w:hAnsi="仿宋" w:eastAsia="仿宋" w:cs="仿宋"/>
                <w:sz w:val="21"/>
                <w:szCs w:val="21"/>
              </w:rPr>
              <w:t>了解计量与标准化知识，掌握法定计量单位的正确使用方法，了解制定与修订产品检验分析方法的知识，培养严谨求实的职业习惯。</w:t>
            </w:r>
          </w:p>
        </w:tc>
        <w:tc>
          <w:tcPr>
            <w:tcW w:w="1800"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化验室组织管理、化验室的建筑与设施、化验室技术装备管理、化验室安全技术、化验室质量管理、化验室技术进步等。</w:t>
            </w:r>
          </w:p>
        </w:tc>
        <w:tc>
          <w:tcPr>
            <w:tcW w:w="2625" w:type="dxa"/>
            <w:vAlign w:val="center"/>
          </w:tcPr>
          <w:p>
            <w:pPr>
              <w:spacing w:line="280" w:lineRule="exact"/>
              <w:rPr>
                <w:rFonts w:ascii="仿宋" w:hAnsi="仿宋" w:eastAsia="仿宋" w:cs="仿宋"/>
                <w:sz w:val="21"/>
                <w:szCs w:val="21"/>
              </w:rPr>
            </w:pPr>
            <w:r>
              <w:rPr>
                <w:rFonts w:hint="eastAsia" w:ascii="仿宋" w:hAnsi="仿宋" w:eastAsia="仿宋" w:cs="仿宋"/>
                <w:sz w:val="21"/>
                <w:szCs w:val="21"/>
              </w:rPr>
              <w:t>1.结合企业实例进行讲解，使抽象的概念具体化。</w:t>
            </w:r>
          </w:p>
          <w:p>
            <w:pPr>
              <w:spacing w:line="280" w:lineRule="exact"/>
              <w:rPr>
                <w:rFonts w:ascii="仿宋" w:hAnsi="仿宋" w:eastAsia="仿宋" w:cs="仿宋"/>
                <w:sz w:val="21"/>
                <w:szCs w:val="21"/>
              </w:rPr>
            </w:pPr>
            <w:r>
              <w:rPr>
                <w:rFonts w:hint="eastAsia" w:ascii="仿宋" w:hAnsi="仿宋" w:eastAsia="仿宋" w:cs="仿宋"/>
                <w:sz w:val="21"/>
                <w:szCs w:val="21"/>
              </w:rPr>
              <w:t>2.可适当采用行动导向教学法，以学生为主体，充分调动学生学习的主动性、积极性。</w:t>
            </w:r>
          </w:p>
          <w:p>
            <w:pPr>
              <w:spacing w:line="280" w:lineRule="exact"/>
              <w:rPr>
                <w:rFonts w:ascii="仿宋" w:hAnsi="仿宋" w:eastAsia="仿宋" w:cs="仿宋"/>
                <w:sz w:val="21"/>
                <w:szCs w:val="21"/>
              </w:rPr>
            </w:pPr>
            <w:r>
              <w:rPr>
                <w:rFonts w:hint="eastAsia" w:ascii="仿宋" w:hAnsi="仿宋" w:eastAsia="仿宋" w:cs="仿宋"/>
                <w:sz w:val="21"/>
                <w:szCs w:val="21"/>
              </w:rPr>
              <w:t>3.可采取现场参观、实物教学的方法，激发学生的学习兴趣。</w:t>
            </w:r>
          </w:p>
          <w:p>
            <w:pPr>
              <w:spacing w:line="280" w:lineRule="exact"/>
              <w:rPr>
                <w:rFonts w:ascii="仿宋" w:hAnsi="仿宋" w:eastAsia="仿宋" w:cs="仿宋"/>
                <w:sz w:val="21"/>
                <w:szCs w:val="21"/>
              </w:rPr>
            </w:pPr>
            <w:r>
              <w:rPr>
                <w:rFonts w:hint="eastAsia" w:ascii="仿宋" w:hAnsi="仿宋" w:eastAsia="仿宋" w:cs="仿宋"/>
                <w:sz w:val="21"/>
                <w:szCs w:val="21"/>
              </w:rPr>
              <w:t>4.考核方法：开卷。</w:t>
            </w:r>
          </w:p>
        </w:tc>
        <w:tc>
          <w:tcPr>
            <w:tcW w:w="840" w:type="dxa"/>
            <w:vAlign w:val="center"/>
          </w:tcPr>
          <w:p>
            <w:pPr>
              <w:spacing w:line="280" w:lineRule="exact"/>
              <w:jc w:val="center"/>
              <w:rPr>
                <w:rFonts w:ascii="仿宋" w:hAnsi="仿宋" w:eastAsia="仿宋" w:cs="仿宋"/>
                <w:sz w:val="21"/>
                <w:szCs w:val="21"/>
                <w:highlight w:val="yellow"/>
              </w:rPr>
            </w:pPr>
            <w:r>
              <w:rPr>
                <w:rFonts w:hint="eastAsia" w:ascii="仿宋" w:hAnsi="仿宋" w:eastAsia="仿宋" w:cs="仿宋"/>
                <w:sz w:val="21"/>
                <w:szCs w:val="21"/>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3" w:hRule="exact"/>
          <w:jc w:val="center"/>
        </w:trPr>
        <w:tc>
          <w:tcPr>
            <w:tcW w:w="555" w:type="dxa"/>
            <w:vAlign w:val="center"/>
          </w:tcPr>
          <w:p>
            <w:pPr>
              <w:jc w:val="center"/>
              <w:rPr>
                <w:bCs/>
                <w:sz w:val="24"/>
                <w:szCs w:val="24"/>
              </w:rPr>
            </w:pPr>
            <w:r>
              <w:rPr>
                <w:rFonts w:hint="eastAsia"/>
                <w:bCs/>
                <w:sz w:val="24"/>
                <w:szCs w:val="24"/>
              </w:rPr>
              <w:t>6</w:t>
            </w:r>
          </w:p>
        </w:tc>
        <w:tc>
          <w:tcPr>
            <w:tcW w:w="736" w:type="dxa"/>
            <w:vAlign w:val="center"/>
          </w:tcPr>
          <w:p>
            <w:pPr>
              <w:jc w:val="center"/>
              <w:rPr>
                <w:bCs/>
                <w:sz w:val="21"/>
                <w:szCs w:val="21"/>
              </w:rPr>
            </w:pPr>
            <w:r>
              <w:rPr>
                <w:rFonts w:hint="eastAsia"/>
                <w:bCs/>
                <w:sz w:val="21"/>
                <w:szCs w:val="21"/>
              </w:rPr>
              <w:t>工业化学</w:t>
            </w:r>
          </w:p>
        </w:tc>
        <w:tc>
          <w:tcPr>
            <w:tcW w:w="2700" w:type="dxa"/>
            <w:vAlign w:val="center"/>
          </w:tcPr>
          <w:p>
            <w:pPr>
              <w:spacing w:line="280" w:lineRule="exact"/>
              <w:rPr>
                <w:rFonts w:ascii="仿宋" w:hAnsi="仿宋" w:eastAsia="仿宋" w:cs="仿宋"/>
                <w:sz w:val="21"/>
                <w:szCs w:val="21"/>
              </w:rPr>
            </w:pPr>
            <w:r>
              <w:rPr>
                <w:rFonts w:hint="eastAsia" w:ascii="仿宋" w:hAnsi="仿宋" w:eastAsia="仿宋" w:cs="仿宋"/>
                <w:sz w:val="21"/>
                <w:szCs w:val="21"/>
              </w:rPr>
              <w:t>1.正确理解有关化工过程的基本概念和理论。</w:t>
            </w:r>
          </w:p>
          <w:p>
            <w:pPr>
              <w:spacing w:line="280" w:lineRule="exact"/>
              <w:rPr>
                <w:rFonts w:ascii="仿宋" w:hAnsi="仿宋" w:eastAsia="仿宋" w:cs="仿宋"/>
                <w:sz w:val="21"/>
                <w:szCs w:val="21"/>
              </w:rPr>
            </w:pPr>
            <w:r>
              <w:rPr>
                <w:rFonts w:hint="eastAsia" w:ascii="仿宋" w:hAnsi="仿宋" w:eastAsia="仿宋" w:cs="仿宋"/>
                <w:sz w:val="21"/>
                <w:szCs w:val="21"/>
              </w:rPr>
              <w:t>2.掌握化学工艺特点和确定工艺条件的原则。</w:t>
            </w:r>
          </w:p>
          <w:p>
            <w:pPr>
              <w:spacing w:line="280" w:lineRule="exact"/>
              <w:rPr>
                <w:rFonts w:ascii="仿宋" w:hAnsi="仿宋" w:eastAsia="仿宋" w:cs="仿宋"/>
                <w:sz w:val="21"/>
                <w:szCs w:val="21"/>
              </w:rPr>
            </w:pPr>
            <w:r>
              <w:rPr>
                <w:rFonts w:hint="eastAsia" w:ascii="仿宋" w:hAnsi="仿宋" w:eastAsia="仿宋" w:cs="仿宋"/>
                <w:sz w:val="21"/>
                <w:szCs w:val="21"/>
              </w:rPr>
              <w:t>3.了解如何组织生产流程以及化工设备的作用、结构、材质和操作要点。</w:t>
            </w:r>
          </w:p>
          <w:p>
            <w:pPr>
              <w:spacing w:line="280" w:lineRule="exact"/>
              <w:rPr>
                <w:rFonts w:ascii="仿宋" w:hAnsi="仿宋" w:eastAsia="仿宋" w:cs="仿宋"/>
                <w:sz w:val="21"/>
                <w:szCs w:val="21"/>
              </w:rPr>
            </w:pPr>
            <w:r>
              <w:rPr>
                <w:rFonts w:hint="eastAsia" w:ascii="仿宋" w:hAnsi="仿宋" w:eastAsia="仿宋" w:cs="仿宋"/>
                <w:sz w:val="21"/>
                <w:szCs w:val="21"/>
              </w:rPr>
              <w:t>4.能够对化工过程进行初步的物料衡算及热量衡算。</w:t>
            </w:r>
          </w:p>
          <w:p>
            <w:pPr>
              <w:spacing w:line="280" w:lineRule="exact"/>
              <w:rPr>
                <w:rFonts w:ascii="仿宋" w:hAnsi="仿宋" w:eastAsia="仿宋" w:cs="仿宋"/>
                <w:sz w:val="21"/>
                <w:szCs w:val="21"/>
              </w:rPr>
            </w:pPr>
            <w:r>
              <w:rPr>
                <w:rFonts w:hint="eastAsia" w:ascii="仿宋" w:hAnsi="仿宋" w:eastAsia="仿宋" w:cs="仿宋"/>
                <w:sz w:val="21"/>
                <w:szCs w:val="21"/>
              </w:rPr>
              <w:t>5.培养标准意识及科学精神。</w:t>
            </w:r>
          </w:p>
        </w:tc>
        <w:tc>
          <w:tcPr>
            <w:tcW w:w="1800"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化学工业生产的基本过程、基本原理和工艺知识，化工计算的基本概念和主要计算方法，将原料经过化学和物理变化生成化工产品的方法和过程（重点是化学反应程）。</w:t>
            </w:r>
          </w:p>
        </w:tc>
        <w:tc>
          <w:tcPr>
            <w:tcW w:w="2625" w:type="dxa"/>
            <w:vAlign w:val="center"/>
          </w:tcPr>
          <w:p>
            <w:pPr>
              <w:widowControl/>
              <w:spacing w:line="280" w:lineRule="exact"/>
              <w:rPr>
                <w:rFonts w:ascii="仿宋" w:hAnsi="仿宋" w:eastAsia="仿宋" w:cs="仿宋"/>
                <w:kern w:val="0"/>
                <w:sz w:val="21"/>
                <w:szCs w:val="21"/>
              </w:rPr>
            </w:pPr>
            <w:r>
              <w:rPr>
                <w:rFonts w:hint="eastAsia" w:ascii="仿宋" w:hAnsi="仿宋" w:eastAsia="仿宋" w:cs="仿宋"/>
                <w:kern w:val="0"/>
                <w:sz w:val="21"/>
                <w:szCs w:val="21"/>
              </w:rPr>
              <w:t>1.结合企业实例进行讲解，使抽象的概念具体化。</w:t>
            </w:r>
          </w:p>
          <w:p>
            <w:pPr>
              <w:widowControl/>
              <w:spacing w:line="280" w:lineRule="exact"/>
              <w:rPr>
                <w:rFonts w:ascii="仿宋" w:hAnsi="仿宋" w:eastAsia="仿宋" w:cs="仿宋"/>
                <w:kern w:val="0"/>
                <w:sz w:val="21"/>
                <w:szCs w:val="21"/>
              </w:rPr>
            </w:pPr>
            <w:r>
              <w:rPr>
                <w:rFonts w:hint="eastAsia" w:ascii="仿宋" w:hAnsi="仿宋" w:eastAsia="仿宋" w:cs="仿宋"/>
                <w:kern w:val="0"/>
                <w:sz w:val="21"/>
                <w:szCs w:val="21"/>
              </w:rPr>
              <w:t>2.注意给学生灌输标准化意识。</w:t>
            </w:r>
          </w:p>
          <w:p>
            <w:pPr>
              <w:widowControl/>
              <w:spacing w:line="280" w:lineRule="exact"/>
              <w:rPr>
                <w:rFonts w:ascii="仿宋" w:hAnsi="仿宋" w:eastAsia="仿宋" w:cs="仿宋"/>
                <w:kern w:val="0"/>
                <w:sz w:val="21"/>
                <w:szCs w:val="21"/>
              </w:rPr>
            </w:pPr>
            <w:r>
              <w:rPr>
                <w:rFonts w:hint="eastAsia" w:ascii="仿宋" w:hAnsi="仿宋" w:eastAsia="仿宋" w:cs="仿宋"/>
                <w:kern w:val="0"/>
                <w:sz w:val="21"/>
                <w:szCs w:val="21"/>
              </w:rPr>
              <w:t>3.适当采用行动导向教学法，以学生为主体，充分调动学生学习的主动性、积极性。</w:t>
            </w:r>
          </w:p>
          <w:p>
            <w:pPr>
              <w:widowControl/>
              <w:spacing w:line="280" w:lineRule="exact"/>
              <w:rPr>
                <w:rFonts w:ascii="仿宋" w:hAnsi="仿宋" w:eastAsia="仿宋" w:cs="仿宋"/>
                <w:sz w:val="21"/>
                <w:szCs w:val="21"/>
              </w:rPr>
            </w:pPr>
            <w:r>
              <w:rPr>
                <w:rFonts w:hint="eastAsia" w:ascii="仿宋" w:hAnsi="仿宋" w:eastAsia="仿宋" w:cs="仿宋"/>
                <w:kern w:val="0"/>
                <w:sz w:val="21"/>
                <w:szCs w:val="21"/>
              </w:rPr>
              <w:t>4.考核方法：开卷。</w:t>
            </w:r>
          </w:p>
        </w:tc>
        <w:tc>
          <w:tcPr>
            <w:tcW w:w="840" w:type="dxa"/>
            <w:vAlign w:val="center"/>
          </w:tcPr>
          <w:p>
            <w:pPr>
              <w:spacing w:line="280" w:lineRule="exact"/>
              <w:jc w:val="center"/>
              <w:rPr>
                <w:rFonts w:ascii="仿宋" w:hAnsi="仿宋" w:eastAsia="仿宋" w:cs="仿宋"/>
                <w:kern w:val="0"/>
                <w:sz w:val="21"/>
                <w:szCs w:val="21"/>
                <w:highlight w:val="yellow"/>
              </w:rPr>
            </w:pPr>
            <w:r>
              <w:rPr>
                <w:rFonts w:hint="eastAsia" w:ascii="仿宋" w:hAnsi="仿宋" w:eastAsia="仿宋" w:cs="仿宋"/>
                <w:sz w:val="21"/>
                <w:szCs w:val="21"/>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3" w:hRule="exact"/>
          <w:jc w:val="center"/>
        </w:trPr>
        <w:tc>
          <w:tcPr>
            <w:tcW w:w="555" w:type="dxa"/>
            <w:vAlign w:val="center"/>
          </w:tcPr>
          <w:p>
            <w:pPr>
              <w:jc w:val="center"/>
              <w:rPr>
                <w:bCs/>
                <w:sz w:val="24"/>
                <w:szCs w:val="24"/>
              </w:rPr>
            </w:pPr>
            <w:r>
              <w:rPr>
                <w:rFonts w:hint="eastAsia"/>
                <w:bCs/>
                <w:sz w:val="24"/>
                <w:szCs w:val="24"/>
              </w:rPr>
              <w:t>7</w:t>
            </w:r>
          </w:p>
        </w:tc>
        <w:tc>
          <w:tcPr>
            <w:tcW w:w="736" w:type="dxa"/>
            <w:vAlign w:val="center"/>
          </w:tcPr>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化工安全</w:t>
            </w:r>
          </w:p>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与环保</w:t>
            </w:r>
          </w:p>
        </w:tc>
        <w:tc>
          <w:tcPr>
            <w:tcW w:w="2700" w:type="dxa"/>
            <w:vAlign w:val="center"/>
          </w:tcPr>
          <w:p>
            <w:pPr>
              <w:spacing w:line="280" w:lineRule="exact"/>
              <w:jc w:val="left"/>
              <w:rPr>
                <w:rFonts w:ascii="仿宋" w:hAnsi="仿宋" w:eastAsia="仿宋" w:cs="仿宋"/>
                <w:sz w:val="21"/>
                <w:szCs w:val="21"/>
              </w:rPr>
            </w:pPr>
            <w:r>
              <w:rPr>
                <w:rFonts w:hint="eastAsia" w:ascii="宋体" w:hAnsi="宋体"/>
                <w:sz w:val="21"/>
                <w:szCs w:val="21"/>
              </w:rPr>
              <w:t>了解化工安全知识，掌握安全技能，使学生牢固树立安全意识和环保意识，掌握一些安全法律法规和安全技术操作规程等。</w:t>
            </w:r>
          </w:p>
        </w:tc>
        <w:tc>
          <w:tcPr>
            <w:tcW w:w="1800" w:type="dxa"/>
            <w:vAlign w:val="center"/>
          </w:tcPr>
          <w:p>
            <w:pPr>
              <w:spacing w:line="280" w:lineRule="exact"/>
              <w:jc w:val="left"/>
              <w:rPr>
                <w:rFonts w:ascii="宋体" w:hAnsi="宋体"/>
                <w:sz w:val="21"/>
                <w:szCs w:val="21"/>
              </w:rPr>
            </w:pPr>
            <w:r>
              <w:rPr>
                <w:rFonts w:hint="eastAsia" w:ascii="宋体" w:hAnsi="宋体"/>
                <w:sz w:val="21"/>
                <w:szCs w:val="21"/>
              </w:rPr>
              <w:t>化工生产防火防爆技术、电气、静电及雷电安全防护、工业毒物的危害及防护、危险化学品的安全储运、劳动保护技术常识、压力容器的安全技术、化工设备的腐蚀与防护、化工设备的安全检修。</w:t>
            </w:r>
          </w:p>
        </w:tc>
        <w:tc>
          <w:tcPr>
            <w:tcW w:w="2625" w:type="dxa"/>
            <w:vAlign w:val="center"/>
          </w:tcPr>
          <w:p>
            <w:pPr>
              <w:spacing w:line="280" w:lineRule="exact"/>
              <w:jc w:val="left"/>
              <w:rPr>
                <w:rFonts w:ascii="宋体" w:hAnsi="宋体"/>
                <w:sz w:val="21"/>
                <w:szCs w:val="21"/>
              </w:rPr>
            </w:pPr>
            <w:r>
              <w:rPr>
                <w:rFonts w:hint="eastAsia" w:ascii="宋体" w:hAnsi="宋体"/>
                <w:sz w:val="21"/>
                <w:szCs w:val="21"/>
              </w:rPr>
              <w:t>1.结合专业特点开展教学，教学内容不宜太深。可选择难度较小的内容采用行动导向教学法进行教学，设计3～4个教学单元。</w:t>
            </w:r>
          </w:p>
          <w:p>
            <w:pPr>
              <w:spacing w:line="280" w:lineRule="exact"/>
              <w:jc w:val="left"/>
              <w:rPr>
                <w:rFonts w:ascii="宋体" w:hAnsi="宋体"/>
                <w:sz w:val="21"/>
                <w:szCs w:val="21"/>
              </w:rPr>
            </w:pPr>
            <w:r>
              <w:rPr>
                <w:rFonts w:hint="eastAsia" w:ascii="宋体" w:hAnsi="宋体"/>
                <w:sz w:val="21"/>
                <w:szCs w:val="21"/>
              </w:rPr>
              <w:t>2.考核方法：开卷、闭卷。</w:t>
            </w:r>
          </w:p>
        </w:tc>
        <w:tc>
          <w:tcPr>
            <w:tcW w:w="840" w:type="dxa"/>
            <w:vAlign w:val="center"/>
          </w:tcPr>
          <w:p>
            <w:pPr>
              <w:spacing w:line="280" w:lineRule="exact"/>
              <w:jc w:val="center"/>
              <w:rPr>
                <w:rFonts w:ascii="仿宋" w:hAnsi="仿宋" w:eastAsia="仿宋" w:cs="仿宋"/>
                <w:sz w:val="21"/>
                <w:szCs w:val="21"/>
                <w:highlight w:val="yellow"/>
              </w:rPr>
            </w:pPr>
            <w:r>
              <w:rPr>
                <w:rFonts w:hint="eastAsia" w:ascii="仿宋" w:hAnsi="仿宋" w:eastAsia="仿宋" w:cs="仿宋"/>
                <w:sz w:val="21"/>
                <w:szCs w:val="21"/>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8" w:hRule="exact"/>
          <w:jc w:val="center"/>
        </w:trPr>
        <w:tc>
          <w:tcPr>
            <w:tcW w:w="555" w:type="dxa"/>
            <w:vAlign w:val="center"/>
          </w:tcPr>
          <w:p>
            <w:pPr>
              <w:jc w:val="center"/>
              <w:rPr>
                <w:bCs/>
                <w:sz w:val="24"/>
                <w:szCs w:val="24"/>
              </w:rPr>
            </w:pPr>
            <w:r>
              <w:rPr>
                <w:rFonts w:hint="eastAsia"/>
                <w:bCs/>
                <w:sz w:val="24"/>
                <w:szCs w:val="24"/>
              </w:rPr>
              <w:t>8</w:t>
            </w:r>
          </w:p>
        </w:tc>
        <w:tc>
          <w:tcPr>
            <w:tcW w:w="736" w:type="dxa"/>
            <w:vAlign w:val="center"/>
          </w:tcPr>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分析化学</w:t>
            </w:r>
          </w:p>
        </w:tc>
        <w:tc>
          <w:tcPr>
            <w:tcW w:w="2700" w:type="dxa"/>
            <w:vAlign w:val="center"/>
          </w:tcPr>
          <w:p>
            <w:pPr>
              <w:spacing w:line="280" w:lineRule="exact"/>
              <w:ind w:firstLine="210" w:firstLineChars="100"/>
              <w:rPr>
                <w:rFonts w:ascii="仿宋" w:hAnsi="仿宋" w:eastAsia="仿宋" w:cs="仿宋"/>
                <w:sz w:val="21"/>
                <w:szCs w:val="21"/>
              </w:rPr>
            </w:pPr>
            <w:r>
              <w:rPr>
                <w:rFonts w:hint="eastAsia" w:ascii="仿宋" w:hAnsi="仿宋" w:eastAsia="仿宋" w:cs="仿宋"/>
                <w:color w:val="000000"/>
                <w:sz w:val="21"/>
                <w:szCs w:val="21"/>
              </w:rPr>
              <w:t>理解定量分析学中的基本概念，了解定量分析中的误差及数据处理方面的基础知识，掌握滴定分析和称量分析的方法及基本原理，牢固树立“量”的概念，掌握定量分析中的有关计算，培养质量意识和批判精神。</w:t>
            </w:r>
          </w:p>
        </w:tc>
        <w:tc>
          <w:tcPr>
            <w:tcW w:w="1800" w:type="dxa"/>
            <w:vAlign w:val="center"/>
          </w:tcPr>
          <w:p>
            <w:pPr>
              <w:spacing w:line="280" w:lineRule="exact"/>
              <w:jc w:val="left"/>
              <w:rPr>
                <w:rFonts w:ascii="宋体" w:hAnsi="宋体"/>
                <w:sz w:val="21"/>
                <w:szCs w:val="21"/>
              </w:rPr>
            </w:pPr>
            <w:r>
              <w:rPr>
                <w:rFonts w:hint="eastAsia" w:ascii="宋体" w:hAnsi="宋体"/>
                <w:sz w:val="21"/>
                <w:szCs w:val="21"/>
              </w:rPr>
              <w:t>定量分析中的误差及结果处理、滴定分析法的基本概念和计算、酸碱滴定法、配位滴定法、氧化还原滴定法、沉淀滴定法和称量分析法等。</w:t>
            </w:r>
          </w:p>
          <w:p>
            <w:pPr>
              <w:spacing w:line="280" w:lineRule="exact"/>
              <w:jc w:val="left"/>
              <w:rPr>
                <w:rFonts w:ascii="宋体" w:hAnsi="宋体"/>
                <w:sz w:val="21"/>
                <w:szCs w:val="21"/>
              </w:rPr>
            </w:pPr>
          </w:p>
        </w:tc>
        <w:tc>
          <w:tcPr>
            <w:tcW w:w="2625" w:type="dxa"/>
            <w:vAlign w:val="center"/>
          </w:tcPr>
          <w:p>
            <w:pPr>
              <w:spacing w:line="280" w:lineRule="exact"/>
              <w:jc w:val="left"/>
              <w:rPr>
                <w:rFonts w:ascii="宋体" w:hAnsi="宋体"/>
                <w:sz w:val="21"/>
                <w:szCs w:val="21"/>
              </w:rPr>
            </w:pPr>
            <w:r>
              <w:rPr>
                <w:rFonts w:hint="eastAsia" w:ascii="宋体" w:hAnsi="宋体"/>
                <w:sz w:val="21"/>
                <w:szCs w:val="21"/>
              </w:rPr>
              <w:t>1.可到企业实地教学。</w:t>
            </w:r>
          </w:p>
          <w:p>
            <w:pPr>
              <w:spacing w:line="280" w:lineRule="exact"/>
              <w:jc w:val="left"/>
              <w:rPr>
                <w:rFonts w:ascii="宋体" w:hAnsi="宋体"/>
                <w:sz w:val="21"/>
                <w:szCs w:val="21"/>
              </w:rPr>
            </w:pPr>
            <w:r>
              <w:rPr>
                <w:rFonts w:hint="eastAsia" w:ascii="宋体" w:hAnsi="宋体"/>
                <w:sz w:val="21"/>
                <w:szCs w:val="21"/>
              </w:rPr>
              <w:t>2.考核方法：开卷、闭卷或问题解答。</w:t>
            </w:r>
          </w:p>
        </w:tc>
        <w:tc>
          <w:tcPr>
            <w:tcW w:w="840" w:type="dxa"/>
            <w:vAlign w:val="center"/>
          </w:tcPr>
          <w:p>
            <w:pPr>
              <w:spacing w:line="280" w:lineRule="exact"/>
              <w:jc w:val="center"/>
              <w:rPr>
                <w:rFonts w:ascii="仿宋" w:hAnsi="仿宋" w:eastAsia="仿宋" w:cs="仿宋"/>
                <w:color w:val="000000"/>
                <w:kern w:val="0"/>
                <w:sz w:val="21"/>
                <w:szCs w:val="21"/>
                <w:highlight w:val="yellow"/>
              </w:rPr>
            </w:pPr>
            <w:r>
              <w:rPr>
                <w:rFonts w:hint="eastAsia" w:ascii="仿宋" w:hAnsi="仿宋" w:eastAsia="仿宋" w:cs="仿宋"/>
                <w:color w:val="000000"/>
                <w:sz w:val="21"/>
                <w:szCs w:val="21"/>
              </w:rPr>
              <w:t>144</w:t>
            </w:r>
          </w:p>
        </w:tc>
      </w:tr>
    </w:tbl>
    <w:p>
      <w:pPr>
        <w:adjustRightInd w:val="0"/>
        <w:snapToGrid w:val="0"/>
        <w:spacing w:line="600" w:lineRule="exact"/>
        <w:outlineLvl w:val="0"/>
        <w:rPr>
          <w:rFonts w:ascii="仿宋_GB2312" w:hAnsi="黑体"/>
          <w:color w:val="000000"/>
          <w:sz w:val="32"/>
        </w:rPr>
      </w:pPr>
      <w:r>
        <w:rPr>
          <w:rFonts w:hint="eastAsia" w:ascii="仿宋_GB2312" w:hAnsi="黑体"/>
          <w:color w:val="000000"/>
          <w:sz w:val="32"/>
        </w:rPr>
        <w:t>（三）专业技能课</w:t>
      </w:r>
    </w:p>
    <w:tbl>
      <w:tblPr>
        <w:tblStyle w:val="7"/>
        <w:tblW w:w="936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43"/>
        <w:gridCol w:w="2319"/>
        <w:gridCol w:w="1695"/>
        <w:gridCol w:w="2422"/>
        <w:gridCol w:w="8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56" w:type="dxa"/>
            <w:tcBorders>
              <w:top w:val="single" w:color="auto" w:sz="12" w:space="0"/>
            </w:tcBorders>
            <w:shd w:val="clear" w:color="auto" w:fill="E6E6E6"/>
            <w:vAlign w:val="center"/>
          </w:tcPr>
          <w:p>
            <w:pPr>
              <w:jc w:val="center"/>
              <w:rPr>
                <w:b/>
                <w:sz w:val="24"/>
                <w:szCs w:val="24"/>
              </w:rPr>
            </w:pPr>
            <w:r>
              <w:rPr>
                <w:b/>
                <w:sz w:val="24"/>
                <w:szCs w:val="24"/>
              </w:rPr>
              <w:t>序号</w:t>
            </w:r>
          </w:p>
        </w:tc>
        <w:tc>
          <w:tcPr>
            <w:tcW w:w="1343" w:type="dxa"/>
            <w:tcBorders>
              <w:top w:val="single" w:color="auto" w:sz="12" w:space="0"/>
            </w:tcBorders>
            <w:shd w:val="clear" w:color="auto" w:fill="E6E6E6"/>
            <w:vAlign w:val="center"/>
          </w:tcPr>
          <w:p>
            <w:pPr>
              <w:jc w:val="center"/>
              <w:rPr>
                <w:b/>
                <w:sz w:val="24"/>
                <w:szCs w:val="24"/>
              </w:rPr>
            </w:pPr>
            <w:r>
              <w:rPr>
                <w:b/>
                <w:sz w:val="24"/>
                <w:szCs w:val="24"/>
              </w:rPr>
              <w:t>课程名称</w:t>
            </w:r>
          </w:p>
        </w:tc>
        <w:tc>
          <w:tcPr>
            <w:tcW w:w="2319" w:type="dxa"/>
            <w:tcBorders>
              <w:top w:val="single" w:color="auto" w:sz="12" w:space="0"/>
            </w:tcBorders>
            <w:shd w:val="clear" w:color="auto" w:fill="E6E6E6"/>
            <w:vAlign w:val="center"/>
          </w:tcPr>
          <w:p>
            <w:pPr>
              <w:jc w:val="center"/>
              <w:rPr>
                <w:b/>
                <w:sz w:val="24"/>
                <w:szCs w:val="24"/>
              </w:rPr>
            </w:pPr>
            <w:r>
              <w:rPr>
                <w:rFonts w:hint="eastAsia"/>
                <w:b/>
                <w:sz w:val="24"/>
                <w:szCs w:val="24"/>
              </w:rPr>
              <w:t>教学目标</w:t>
            </w:r>
          </w:p>
        </w:tc>
        <w:tc>
          <w:tcPr>
            <w:tcW w:w="1695" w:type="dxa"/>
            <w:tcBorders>
              <w:top w:val="single" w:color="auto" w:sz="12" w:space="0"/>
            </w:tcBorders>
            <w:shd w:val="clear" w:color="auto" w:fill="E6E6E6"/>
            <w:vAlign w:val="center"/>
          </w:tcPr>
          <w:p>
            <w:pPr>
              <w:jc w:val="center"/>
              <w:rPr>
                <w:b/>
                <w:sz w:val="24"/>
                <w:szCs w:val="24"/>
              </w:rPr>
            </w:pPr>
            <w:r>
              <w:rPr>
                <w:rFonts w:hint="eastAsia"/>
                <w:b/>
                <w:sz w:val="24"/>
                <w:szCs w:val="24"/>
              </w:rPr>
              <w:t>主要教学内容</w:t>
            </w:r>
          </w:p>
        </w:tc>
        <w:tc>
          <w:tcPr>
            <w:tcW w:w="2422" w:type="dxa"/>
            <w:tcBorders>
              <w:top w:val="single" w:color="auto" w:sz="12" w:space="0"/>
            </w:tcBorders>
            <w:shd w:val="clear" w:color="auto" w:fill="E6E6E6"/>
            <w:vAlign w:val="center"/>
          </w:tcPr>
          <w:p>
            <w:pPr>
              <w:jc w:val="center"/>
              <w:rPr>
                <w:b/>
                <w:sz w:val="24"/>
                <w:szCs w:val="24"/>
              </w:rPr>
            </w:pPr>
            <w:r>
              <w:rPr>
                <w:rFonts w:hint="eastAsia"/>
                <w:b/>
                <w:sz w:val="24"/>
                <w:szCs w:val="24"/>
              </w:rPr>
              <w:t>教学要求与建议</w:t>
            </w:r>
          </w:p>
        </w:tc>
        <w:tc>
          <w:tcPr>
            <w:tcW w:w="825" w:type="dxa"/>
            <w:tcBorders>
              <w:top w:val="single" w:color="auto" w:sz="12" w:space="0"/>
            </w:tcBorders>
            <w:shd w:val="clear" w:color="auto" w:fill="E6E6E6"/>
            <w:vAlign w:val="center"/>
          </w:tcPr>
          <w:p>
            <w:pPr>
              <w:jc w:val="center"/>
              <w:rPr>
                <w:b/>
                <w:sz w:val="24"/>
                <w:szCs w:val="24"/>
              </w:rPr>
            </w:pPr>
            <w:r>
              <w:rPr>
                <w:b/>
                <w:sz w:val="24"/>
                <w:szCs w:val="24"/>
              </w:rPr>
              <w:t>参考</w:t>
            </w:r>
          </w:p>
          <w:p>
            <w:pPr>
              <w:jc w:val="center"/>
              <w:rPr>
                <w:b/>
                <w:sz w:val="24"/>
                <w:szCs w:val="24"/>
              </w:rPr>
            </w:pPr>
            <w:r>
              <w:rPr>
                <w:b/>
                <w:sz w:val="24"/>
                <w:szCs w:val="24"/>
              </w:rPr>
              <w:t>学时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7" w:hRule="exact"/>
          <w:jc w:val="center"/>
        </w:trPr>
        <w:tc>
          <w:tcPr>
            <w:tcW w:w="756" w:type="dxa"/>
            <w:vAlign w:val="center"/>
          </w:tcPr>
          <w:p>
            <w:pPr>
              <w:jc w:val="center"/>
              <w:rPr>
                <w:sz w:val="24"/>
                <w:szCs w:val="24"/>
              </w:rPr>
            </w:pPr>
            <w:r>
              <w:rPr>
                <w:rFonts w:hint="eastAsia"/>
                <w:sz w:val="24"/>
                <w:szCs w:val="24"/>
              </w:rPr>
              <w:t>1</w:t>
            </w:r>
          </w:p>
        </w:tc>
        <w:tc>
          <w:tcPr>
            <w:tcW w:w="1343"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分析化学基础知识与基础操作</w:t>
            </w:r>
          </w:p>
        </w:tc>
        <w:tc>
          <w:tcPr>
            <w:tcW w:w="2319"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了解分析室的一般知识，掌握移液管、容量瓶、酸碱滴定管、分析天平等仪器的基本操作，培养标准意识及规范意识。</w:t>
            </w:r>
          </w:p>
        </w:tc>
        <w:tc>
          <w:tcPr>
            <w:tcW w:w="169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分析化学实验的基本知识、分析天平和称量、滴定分析操作等。</w:t>
            </w:r>
          </w:p>
        </w:tc>
        <w:tc>
          <w:tcPr>
            <w:tcW w:w="2422" w:type="dxa"/>
            <w:vAlign w:val="center"/>
          </w:tcPr>
          <w:p>
            <w:pPr>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1.采用模块式教学。</w:t>
            </w:r>
          </w:p>
          <w:p>
            <w:pPr>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2注重基本技能的训练，培养学生具有良好的实验室工作素养和动手能力。</w:t>
            </w:r>
          </w:p>
          <w:p>
            <w:pPr>
              <w:spacing w:line="280" w:lineRule="exact"/>
              <w:jc w:val="left"/>
              <w:rPr>
                <w:rFonts w:ascii="仿宋" w:hAnsi="仿宋" w:eastAsia="仿宋" w:cs="仿宋"/>
                <w:sz w:val="21"/>
                <w:szCs w:val="21"/>
              </w:rPr>
            </w:pPr>
            <w:r>
              <w:rPr>
                <w:rFonts w:hint="eastAsia" w:ascii="仿宋" w:hAnsi="仿宋" w:eastAsia="仿宋" w:cs="仿宋"/>
                <w:kern w:val="0"/>
                <w:sz w:val="21"/>
                <w:szCs w:val="21"/>
              </w:rPr>
              <w:t>3.采用日常生活中常见的案例进行学习，通过实训操作中丰富的颜色变化，提高学生学习的兴趣，加深对分析化学的了解。4.考核方法：实操考核。</w:t>
            </w:r>
          </w:p>
        </w:tc>
        <w:tc>
          <w:tcPr>
            <w:tcW w:w="82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216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2" w:hRule="exact"/>
          <w:jc w:val="center"/>
        </w:trPr>
        <w:tc>
          <w:tcPr>
            <w:tcW w:w="756" w:type="dxa"/>
            <w:vAlign w:val="center"/>
          </w:tcPr>
          <w:p>
            <w:pPr>
              <w:jc w:val="center"/>
              <w:rPr>
                <w:sz w:val="24"/>
                <w:szCs w:val="24"/>
              </w:rPr>
            </w:pPr>
            <w:r>
              <w:rPr>
                <w:rFonts w:hint="eastAsia"/>
                <w:sz w:val="24"/>
                <w:szCs w:val="24"/>
              </w:rPr>
              <w:t>2</w:t>
            </w:r>
          </w:p>
        </w:tc>
        <w:tc>
          <w:tcPr>
            <w:tcW w:w="1343"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试样的采集与制备</w:t>
            </w:r>
          </w:p>
        </w:tc>
        <w:tc>
          <w:tcPr>
            <w:tcW w:w="2319"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掌握采样的基础知识；能够通过具体实例学习固体、液体和气体试样的采样方式、方法；掌握钢铁合金、土壤、铝合金、食品的预处理；培养务实求真、艰苦奋斗的职业精神。</w:t>
            </w:r>
          </w:p>
        </w:tc>
        <w:tc>
          <w:tcPr>
            <w:tcW w:w="169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采用原则和常用术语；采样流程管理；采样工具；固体、液体和气体试样的采样方式、方法；常用试样的分解。</w:t>
            </w:r>
          </w:p>
          <w:p>
            <w:pPr>
              <w:spacing w:line="280" w:lineRule="exact"/>
              <w:jc w:val="left"/>
              <w:rPr>
                <w:rFonts w:ascii="仿宋" w:hAnsi="仿宋" w:eastAsia="仿宋" w:cs="仿宋"/>
                <w:sz w:val="21"/>
                <w:szCs w:val="21"/>
              </w:rPr>
            </w:pPr>
          </w:p>
        </w:tc>
        <w:tc>
          <w:tcPr>
            <w:tcW w:w="2422"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1.以典型工作任务为载体，实行“教、学、做”理实一体的项目化教学形式。</w:t>
            </w:r>
          </w:p>
          <w:p>
            <w:pPr>
              <w:spacing w:line="280" w:lineRule="exact"/>
              <w:jc w:val="left"/>
              <w:rPr>
                <w:rFonts w:ascii="仿宋" w:hAnsi="仿宋" w:eastAsia="仿宋" w:cs="仿宋"/>
                <w:sz w:val="21"/>
                <w:szCs w:val="21"/>
              </w:rPr>
            </w:pPr>
            <w:r>
              <w:rPr>
                <w:rFonts w:hint="eastAsia" w:ascii="仿宋" w:hAnsi="仿宋" w:eastAsia="仿宋" w:cs="仿宋"/>
                <w:sz w:val="21"/>
                <w:szCs w:val="21"/>
              </w:rPr>
              <w:t>2.按照教学和认识规律，在教学内容组织上遵循螺旋式递进训练。</w:t>
            </w:r>
          </w:p>
        </w:tc>
        <w:tc>
          <w:tcPr>
            <w:tcW w:w="82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20" w:hRule="exact"/>
          <w:jc w:val="center"/>
        </w:trPr>
        <w:tc>
          <w:tcPr>
            <w:tcW w:w="756" w:type="dxa"/>
            <w:vAlign w:val="center"/>
          </w:tcPr>
          <w:p>
            <w:pPr>
              <w:jc w:val="center"/>
              <w:rPr>
                <w:sz w:val="24"/>
                <w:szCs w:val="24"/>
              </w:rPr>
            </w:pPr>
            <w:r>
              <w:rPr>
                <w:rFonts w:hint="eastAsia"/>
                <w:sz w:val="24"/>
                <w:szCs w:val="24"/>
              </w:rPr>
              <w:t>3</w:t>
            </w:r>
          </w:p>
        </w:tc>
        <w:tc>
          <w:tcPr>
            <w:tcW w:w="1343"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水质分析</w:t>
            </w:r>
          </w:p>
        </w:tc>
        <w:tc>
          <w:tcPr>
            <w:tcW w:w="2319" w:type="dxa"/>
            <w:vAlign w:val="center"/>
          </w:tcPr>
          <w:p>
            <w:pPr>
              <w:spacing w:line="280" w:lineRule="exact"/>
              <w:jc w:val="left"/>
              <w:rPr>
                <w:rFonts w:ascii="仿宋" w:hAnsi="仿宋" w:eastAsia="仿宋" w:cs="仿宋"/>
                <w:sz w:val="21"/>
                <w:szCs w:val="21"/>
              </w:rPr>
            </w:pPr>
            <w:r>
              <w:rPr>
                <w:rFonts w:hint="eastAsia" w:ascii="仿宋" w:hAnsi="仿宋" w:eastAsia="仿宋" w:cs="仿宋"/>
                <w:spacing w:val="-6"/>
                <w:sz w:val="21"/>
                <w:szCs w:val="21"/>
              </w:rPr>
              <w:t>通过具体实例操作学习水中常见组分的测定，培养应变能力及分析解决问题的能力。</w:t>
            </w:r>
          </w:p>
        </w:tc>
        <w:tc>
          <w:tcPr>
            <w:tcW w:w="169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水中硬度的测定；pH测定；COD的测定；总碱度测定；氯离子测定；氨氮测定、总磷测定；亚硝酸盐的测定。</w:t>
            </w:r>
          </w:p>
        </w:tc>
        <w:tc>
          <w:tcPr>
            <w:tcW w:w="2422" w:type="dxa"/>
            <w:vAlign w:val="center"/>
          </w:tcPr>
          <w:p>
            <w:pPr>
              <w:widowControl/>
              <w:spacing w:line="280" w:lineRule="exact"/>
              <w:jc w:val="left"/>
              <w:rPr>
                <w:rFonts w:ascii="仿宋" w:hAnsi="仿宋" w:eastAsia="仿宋" w:cs="仿宋"/>
                <w:spacing w:val="-2"/>
                <w:kern w:val="0"/>
                <w:sz w:val="21"/>
                <w:szCs w:val="21"/>
              </w:rPr>
            </w:pPr>
            <w:r>
              <w:rPr>
                <w:rFonts w:hint="eastAsia" w:ascii="仿宋" w:hAnsi="仿宋" w:eastAsia="仿宋" w:cs="仿宋"/>
                <w:spacing w:val="-2"/>
                <w:kern w:val="0"/>
                <w:sz w:val="21"/>
                <w:szCs w:val="21"/>
              </w:rPr>
              <w:t>1.以典型工作任务为载体，实行“教、学、做”理实一体的项目化教学形式。</w:t>
            </w:r>
          </w:p>
          <w:p>
            <w:pPr>
              <w:spacing w:line="280" w:lineRule="exact"/>
              <w:jc w:val="left"/>
              <w:rPr>
                <w:rFonts w:ascii="仿宋" w:hAnsi="仿宋" w:eastAsia="仿宋" w:cs="仿宋"/>
                <w:sz w:val="21"/>
                <w:szCs w:val="21"/>
              </w:rPr>
            </w:pPr>
            <w:r>
              <w:rPr>
                <w:rFonts w:hint="eastAsia" w:ascii="仿宋" w:hAnsi="仿宋" w:eastAsia="仿宋" w:cs="仿宋"/>
                <w:spacing w:val="-2"/>
                <w:kern w:val="0"/>
                <w:sz w:val="21"/>
                <w:szCs w:val="21"/>
              </w:rPr>
              <w:t>2.按照教学和认识规律，在教学内容组织上遵循螺旋式递进训练。</w:t>
            </w:r>
          </w:p>
        </w:tc>
        <w:tc>
          <w:tcPr>
            <w:tcW w:w="825" w:type="dxa"/>
            <w:vAlign w:val="center"/>
          </w:tcPr>
          <w:p>
            <w:pPr>
              <w:jc w:val="center"/>
              <w:rPr>
                <w:rFonts w:ascii="仿宋" w:hAnsi="仿宋" w:eastAsia="仿宋" w:cs="仿宋"/>
                <w:sz w:val="21"/>
                <w:szCs w:val="21"/>
              </w:rPr>
            </w:pPr>
            <w:r>
              <w:rPr>
                <w:rFonts w:hint="eastAsia" w:ascii="仿宋" w:hAnsi="仿宋" w:eastAsia="仿宋" w:cs="仿宋"/>
                <w:sz w:val="21"/>
                <w:szCs w:val="21"/>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57" w:hRule="exact"/>
          <w:jc w:val="center"/>
        </w:trPr>
        <w:tc>
          <w:tcPr>
            <w:tcW w:w="756" w:type="dxa"/>
            <w:vAlign w:val="center"/>
          </w:tcPr>
          <w:p>
            <w:pPr>
              <w:jc w:val="center"/>
              <w:rPr>
                <w:sz w:val="24"/>
                <w:szCs w:val="24"/>
              </w:rPr>
            </w:pPr>
            <w:r>
              <w:rPr>
                <w:rFonts w:hint="eastAsia"/>
                <w:sz w:val="24"/>
                <w:szCs w:val="24"/>
              </w:rPr>
              <w:t>4</w:t>
            </w:r>
          </w:p>
        </w:tc>
        <w:tc>
          <w:tcPr>
            <w:tcW w:w="1343"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肥料分析</w:t>
            </w:r>
          </w:p>
        </w:tc>
        <w:tc>
          <w:tcPr>
            <w:tcW w:w="2319" w:type="dxa"/>
            <w:vAlign w:val="center"/>
          </w:tcPr>
          <w:p>
            <w:pPr>
              <w:spacing w:line="280" w:lineRule="exact"/>
              <w:jc w:val="left"/>
              <w:rPr>
                <w:rFonts w:ascii="仿宋" w:hAnsi="仿宋" w:eastAsia="仿宋" w:cs="仿宋"/>
                <w:spacing w:val="-6"/>
                <w:sz w:val="21"/>
                <w:szCs w:val="21"/>
              </w:rPr>
            </w:pPr>
            <w:r>
              <w:rPr>
                <w:rFonts w:hint="eastAsia" w:ascii="仿宋" w:hAnsi="仿宋" w:eastAsia="仿宋" w:cs="仿宋"/>
                <w:spacing w:val="-6"/>
                <w:sz w:val="21"/>
                <w:szCs w:val="21"/>
              </w:rPr>
              <w:t>能够通过具体实例操作学习尿素、氯化铵、碳酸氢铵、硫酸钾、钙镁磷肥和复混肥的测定，培养服务意识、责任意识和环保意识。</w:t>
            </w:r>
          </w:p>
        </w:tc>
        <w:tc>
          <w:tcPr>
            <w:tcW w:w="1695" w:type="dxa"/>
            <w:vAlign w:val="center"/>
          </w:tcPr>
          <w:p>
            <w:pPr>
              <w:spacing w:line="280" w:lineRule="exact"/>
              <w:jc w:val="left"/>
              <w:rPr>
                <w:rFonts w:ascii="仿宋" w:hAnsi="仿宋" w:eastAsia="仿宋" w:cs="仿宋"/>
                <w:spacing w:val="-6"/>
                <w:sz w:val="21"/>
                <w:szCs w:val="21"/>
              </w:rPr>
            </w:pPr>
            <w:r>
              <w:rPr>
                <w:rFonts w:hint="eastAsia" w:ascii="仿宋" w:hAnsi="仿宋" w:eastAsia="仿宋" w:cs="仿宋"/>
                <w:spacing w:val="-6"/>
                <w:sz w:val="21"/>
                <w:szCs w:val="21"/>
              </w:rPr>
              <w:t>常见氮肥分析；钾肥测定；磷肥测定；复混肥的测定。</w:t>
            </w:r>
          </w:p>
        </w:tc>
        <w:tc>
          <w:tcPr>
            <w:tcW w:w="2422" w:type="dxa"/>
            <w:vAlign w:val="center"/>
          </w:tcPr>
          <w:p>
            <w:pPr>
              <w:spacing w:line="280" w:lineRule="exact"/>
              <w:jc w:val="left"/>
              <w:rPr>
                <w:rFonts w:ascii="仿宋" w:hAnsi="仿宋" w:eastAsia="仿宋" w:cs="仿宋"/>
                <w:spacing w:val="-6"/>
                <w:sz w:val="21"/>
                <w:szCs w:val="21"/>
              </w:rPr>
            </w:pPr>
            <w:r>
              <w:rPr>
                <w:rFonts w:hint="eastAsia" w:ascii="仿宋" w:hAnsi="仿宋" w:eastAsia="仿宋" w:cs="仿宋"/>
                <w:spacing w:val="-6"/>
                <w:sz w:val="21"/>
                <w:szCs w:val="21"/>
              </w:rPr>
              <w:t>1.以典型工作任务为载体，实行“教、学、做”理实一体的项目化教学形式。</w:t>
            </w:r>
          </w:p>
          <w:p>
            <w:pPr>
              <w:spacing w:line="280" w:lineRule="exact"/>
              <w:jc w:val="left"/>
              <w:rPr>
                <w:rFonts w:ascii="仿宋" w:hAnsi="仿宋" w:eastAsia="仿宋" w:cs="仿宋"/>
                <w:spacing w:val="-6"/>
                <w:sz w:val="21"/>
                <w:szCs w:val="21"/>
              </w:rPr>
            </w:pPr>
            <w:r>
              <w:rPr>
                <w:rFonts w:hint="eastAsia" w:ascii="仿宋" w:hAnsi="仿宋" w:eastAsia="仿宋" w:cs="仿宋"/>
                <w:spacing w:val="-6"/>
                <w:sz w:val="21"/>
                <w:szCs w:val="21"/>
              </w:rPr>
              <w:t>2.按照教学和认识规律，在教学内容组织上遵循螺旋式递进训练。</w:t>
            </w:r>
          </w:p>
        </w:tc>
        <w:tc>
          <w:tcPr>
            <w:tcW w:w="825" w:type="dxa"/>
            <w:vAlign w:val="center"/>
          </w:tcPr>
          <w:p>
            <w:pPr>
              <w:ind w:firstLine="198" w:firstLineChars="100"/>
              <w:rPr>
                <w:rFonts w:ascii="仿宋" w:hAnsi="仿宋" w:eastAsia="仿宋" w:cs="仿宋"/>
                <w:spacing w:val="-6"/>
                <w:sz w:val="21"/>
                <w:szCs w:val="21"/>
              </w:rPr>
            </w:pPr>
            <w:r>
              <w:rPr>
                <w:rFonts w:hint="eastAsia" w:ascii="仿宋" w:hAnsi="仿宋" w:eastAsia="仿宋" w:cs="仿宋"/>
                <w:spacing w:val="-6"/>
                <w:sz w:val="21"/>
                <w:szCs w:val="21"/>
              </w:rPr>
              <w:t>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7" w:hRule="exact"/>
          <w:jc w:val="center"/>
        </w:trPr>
        <w:tc>
          <w:tcPr>
            <w:tcW w:w="756" w:type="dxa"/>
            <w:vAlign w:val="center"/>
          </w:tcPr>
          <w:p>
            <w:pPr>
              <w:jc w:val="center"/>
              <w:rPr>
                <w:sz w:val="24"/>
                <w:szCs w:val="24"/>
              </w:rPr>
            </w:pPr>
            <w:r>
              <w:rPr>
                <w:rFonts w:hint="eastAsia"/>
                <w:sz w:val="24"/>
                <w:szCs w:val="24"/>
              </w:rPr>
              <w:t>5</w:t>
            </w:r>
          </w:p>
        </w:tc>
        <w:tc>
          <w:tcPr>
            <w:tcW w:w="1343"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石化产品分析</w:t>
            </w:r>
          </w:p>
        </w:tc>
        <w:tc>
          <w:tcPr>
            <w:tcW w:w="2319"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能够通过具体实例操作学习水分、流程、粘度、蒸气压、酸碱度、闪点、机械杂质、灰分和残炭、硫含量等项目的测定，培养可持续发展的理念和环保意识。</w:t>
            </w:r>
          </w:p>
        </w:tc>
        <w:tc>
          <w:tcPr>
            <w:tcW w:w="169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汽油质量检验；柴油质量检验；润滑油质量检验。</w:t>
            </w:r>
          </w:p>
          <w:p>
            <w:pPr>
              <w:spacing w:line="280" w:lineRule="exact"/>
              <w:ind w:firstLine="210" w:firstLineChars="100"/>
              <w:jc w:val="left"/>
              <w:rPr>
                <w:rFonts w:ascii="仿宋" w:hAnsi="仿宋" w:eastAsia="仿宋" w:cs="仿宋"/>
                <w:sz w:val="21"/>
                <w:szCs w:val="21"/>
              </w:rPr>
            </w:pPr>
          </w:p>
        </w:tc>
        <w:tc>
          <w:tcPr>
            <w:tcW w:w="2422" w:type="dxa"/>
            <w:vAlign w:val="center"/>
          </w:tcPr>
          <w:p>
            <w:pPr>
              <w:widowControl/>
              <w:spacing w:line="280" w:lineRule="exact"/>
              <w:jc w:val="left"/>
              <w:rPr>
                <w:rFonts w:ascii="仿宋" w:hAnsi="仿宋" w:eastAsia="仿宋" w:cs="仿宋"/>
                <w:spacing w:val="-2"/>
                <w:kern w:val="0"/>
                <w:sz w:val="21"/>
                <w:szCs w:val="21"/>
              </w:rPr>
            </w:pPr>
            <w:r>
              <w:rPr>
                <w:rFonts w:hint="eastAsia" w:ascii="仿宋" w:hAnsi="仿宋" w:eastAsia="仿宋" w:cs="仿宋"/>
                <w:spacing w:val="-2"/>
                <w:kern w:val="0"/>
                <w:sz w:val="21"/>
                <w:szCs w:val="21"/>
              </w:rPr>
              <w:t>1.以典型工作任务为载体，实行“教、学、做”理实一体的项目化教学形式。</w:t>
            </w:r>
          </w:p>
          <w:p>
            <w:pPr>
              <w:spacing w:line="280" w:lineRule="exact"/>
              <w:jc w:val="left"/>
              <w:rPr>
                <w:rFonts w:ascii="仿宋" w:hAnsi="仿宋" w:eastAsia="仿宋" w:cs="仿宋"/>
                <w:sz w:val="21"/>
                <w:szCs w:val="21"/>
              </w:rPr>
            </w:pPr>
            <w:r>
              <w:rPr>
                <w:rFonts w:hint="eastAsia" w:ascii="仿宋" w:hAnsi="仿宋" w:eastAsia="仿宋" w:cs="仿宋"/>
                <w:spacing w:val="-2"/>
                <w:kern w:val="0"/>
                <w:sz w:val="21"/>
                <w:szCs w:val="21"/>
              </w:rPr>
              <w:t>2.按照教学和认识规律，在教学内容组织上遵循螺旋式递进训练。</w:t>
            </w:r>
          </w:p>
        </w:tc>
        <w:tc>
          <w:tcPr>
            <w:tcW w:w="825"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07" w:hRule="exact"/>
          <w:jc w:val="center"/>
        </w:trPr>
        <w:tc>
          <w:tcPr>
            <w:tcW w:w="756" w:type="dxa"/>
            <w:vAlign w:val="center"/>
          </w:tcPr>
          <w:p>
            <w:pPr>
              <w:jc w:val="center"/>
              <w:rPr>
                <w:sz w:val="24"/>
                <w:szCs w:val="24"/>
              </w:rPr>
            </w:pPr>
            <w:r>
              <w:rPr>
                <w:rFonts w:hint="eastAsia"/>
                <w:sz w:val="24"/>
                <w:szCs w:val="24"/>
              </w:rPr>
              <w:t>6</w:t>
            </w:r>
          </w:p>
        </w:tc>
        <w:tc>
          <w:tcPr>
            <w:tcW w:w="1343" w:type="dxa"/>
            <w:vAlign w:val="center"/>
          </w:tcPr>
          <w:p>
            <w:pPr>
              <w:spacing w:line="280" w:lineRule="exact"/>
              <w:jc w:val="center"/>
              <w:rPr>
                <w:rFonts w:ascii="仿宋" w:hAnsi="仿宋" w:eastAsia="仿宋" w:cs="仿宋"/>
                <w:spacing w:val="-12"/>
                <w:sz w:val="21"/>
                <w:szCs w:val="21"/>
              </w:rPr>
            </w:pPr>
            <w:r>
              <w:rPr>
                <w:rFonts w:hint="eastAsia" w:ascii="仿宋" w:hAnsi="仿宋" w:eastAsia="仿宋" w:cs="仿宋"/>
                <w:sz w:val="21"/>
                <w:szCs w:val="21"/>
              </w:rPr>
              <w:t>中级工考证训练</w:t>
            </w:r>
          </w:p>
        </w:tc>
        <w:tc>
          <w:tcPr>
            <w:tcW w:w="2319" w:type="dxa"/>
            <w:vAlign w:val="center"/>
          </w:tcPr>
          <w:p>
            <w:pPr>
              <w:spacing w:line="280" w:lineRule="exact"/>
              <w:jc w:val="left"/>
              <w:rPr>
                <w:rFonts w:ascii="仿宋" w:hAnsi="仿宋" w:eastAsia="仿宋" w:cs="仿宋"/>
                <w:sz w:val="21"/>
                <w:szCs w:val="21"/>
              </w:rPr>
            </w:pPr>
            <w:r>
              <w:rPr>
                <w:rFonts w:hint="eastAsia" w:ascii="仿宋" w:hAnsi="仿宋" w:eastAsia="仿宋" w:cs="仿宋"/>
                <w:spacing w:val="-6"/>
                <w:sz w:val="21"/>
                <w:szCs w:val="21"/>
              </w:rPr>
              <w:t>依据职业技能鉴定要求确定分析样品，并完成相应分析指标的检测。依据理论考试的题库，结合所学课程进行复习。培养标准、规范的职业素养、精益求精的职业精神，树立质量意识。</w:t>
            </w:r>
          </w:p>
        </w:tc>
        <w:tc>
          <w:tcPr>
            <w:tcW w:w="1695" w:type="dxa"/>
            <w:vAlign w:val="center"/>
          </w:tcPr>
          <w:p>
            <w:pPr>
              <w:spacing w:line="280" w:lineRule="exact"/>
              <w:jc w:val="left"/>
              <w:rPr>
                <w:rFonts w:ascii="仿宋" w:hAnsi="仿宋" w:eastAsia="仿宋" w:cs="仿宋"/>
                <w:sz w:val="21"/>
                <w:szCs w:val="21"/>
              </w:rPr>
            </w:pPr>
            <w:r>
              <w:rPr>
                <w:rFonts w:hint="eastAsia" w:ascii="仿宋" w:hAnsi="仿宋" w:eastAsia="仿宋" w:cs="仿宋"/>
                <w:spacing w:val="-6"/>
                <w:sz w:val="21"/>
                <w:szCs w:val="21"/>
              </w:rPr>
              <w:t>依据职业技能鉴定要求确定分析样</w:t>
            </w:r>
          </w:p>
        </w:tc>
        <w:tc>
          <w:tcPr>
            <w:tcW w:w="2422" w:type="dxa"/>
            <w:vAlign w:val="center"/>
          </w:tcPr>
          <w:p>
            <w:pPr>
              <w:spacing w:line="280" w:lineRule="exact"/>
              <w:jc w:val="left"/>
              <w:rPr>
                <w:rFonts w:ascii="仿宋" w:hAnsi="仿宋" w:eastAsia="仿宋" w:cs="仿宋"/>
                <w:sz w:val="21"/>
                <w:szCs w:val="21"/>
              </w:rPr>
            </w:pPr>
            <w:r>
              <w:rPr>
                <w:rFonts w:hint="eastAsia" w:ascii="仿宋" w:hAnsi="仿宋" w:eastAsia="仿宋" w:cs="仿宋"/>
                <w:kern w:val="0"/>
                <w:sz w:val="21"/>
                <w:szCs w:val="21"/>
              </w:rPr>
              <w:t>结合中级工职业技能鉴定要求组织教学。</w:t>
            </w:r>
          </w:p>
        </w:tc>
        <w:tc>
          <w:tcPr>
            <w:tcW w:w="825"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72</w:t>
            </w:r>
          </w:p>
        </w:tc>
      </w:tr>
    </w:tbl>
    <w:p>
      <w:pPr>
        <w:adjustRightInd w:val="0"/>
        <w:snapToGrid w:val="0"/>
        <w:spacing w:line="360" w:lineRule="auto"/>
        <w:ind w:firstLine="627" w:firstLineChars="196"/>
        <w:outlineLvl w:val="0"/>
        <w:rPr>
          <w:rFonts w:ascii="仿宋_GB2312" w:hAnsi="黑体"/>
          <w:color w:val="000000"/>
          <w:sz w:val="32"/>
        </w:rPr>
      </w:pPr>
      <w:r>
        <w:rPr>
          <w:rFonts w:hint="eastAsia" w:ascii="仿宋_GB2312" w:hAnsi="黑体"/>
          <w:color w:val="000000"/>
          <w:sz w:val="32"/>
        </w:rPr>
        <w:t>（四）一</w:t>
      </w:r>
      <w:r>
        <w:rPr>
          <w:rFonts w:ascii="仿宋_GB2312" w:hAnsi="黑体"/>
          <w:color w:val="000000"/>
          <w:sz w:val="32"/>
        </w:rPr>
        <w:t>体化课程</w:t>
      </w:r>
    </w:p>
    <w:tbl>
      <w:tblPr>
        <w:tblStyle w:val="7"/>
        <w:tblW w:w="946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070"/>
        <w:gridCol w:w="2065"/>
        <w:gridCol w:w="1230"/>
        <w:gridCol w:w="1560"/>
        <w:gridCol w:w="1935"/>
        <w:gridCol w:w="8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767" w:type="dxa"/>
            <w:tcBorders>
              <w:top w:val="single" w:color="auto" w:sz="12" w:space="0"/>
            </w:tcBorders>
            <w:shd w:val="clear" w:color="auto" w:fill="E6E6E6"/>
            <w:vAlign w:val="center"/>
          </w:tcPr>
          <w:p>
            <w:pPr>
              <w:jc w:val="center"/>
              <w:rPr>
                <w:b/>
                <w:sz w:val="24"/>
                <w:szCs w:val="24"/>
              </w:rPr>
            </w:pPr>
            <w:r>
              <w:rPr>
                <w:b/>
                <w:sz w:val="24"/>
                <w:szCs w:val="24"/>
              </w:rPr>
              <w:t>序号</w:t>
            </w:r>
          </w:p>
        </w:tc>
        <w:tc>
          <w:tcPr>
            <w:tcW w:w="1070" w:type="dxa"/>
            <w:tcBorders>
              <w:top w:val="single" w:color="auto" w:sz="12" w:space="0"/>
            </w:tcBorders>
            <w:shd w:val="clear" w:color="auto" w:fill="E6E6E6"/>
            <w:vAlign w:val="center"/>
          </w:tcPr>
          <w:p>
            <w:pPr>
              <w:jc w:val="center"/>
              <w:rPr>
                <w:b/>
                <w:sz w:val="24"/>
                <w:szCs w:val="24"/>
              </w:rPr>
            </w:pPr>
            <w:r>
              <w:rPr>
                <w:b/>
                <w:sz w:val="24"/>
                <w:szCs w:val="24"/>
              </w:rPr>
              <w:t>课程</w:t>
            </w:r>
          </w:p>
          <w:p>
            <w:pPr>
              <w:jc w:val="center"/>
              <w:rPr>
                <w:b/>
                <w:sz w:val="24"/>
                <w:szCs w:val="24"/>
              </w:rPr>
            </w:pPr>
            <w:r>
              <w:rPr>
                <w:b/>
                <w:sz w:val="24"/>
                <w:szCs w:val="24"/>
              </w:rPr>
              <w:t>名称</w:t>
            </w:r>
          </w:p>
        </w:tc>
        <w:tc>
          <w:tcPr>
            <w:tcW w:w="2065" w:type="dxa"/>
            <w:tcBorders>
              <w:top w:val="single" w:color="auto" w:sz="12" w:space="0"/>
            </w:tcBorders>
            <w:shd w:val="clear" w:color="auto" w:fill="E6E6E6"/>
            <w:vAlign w:val="center"/>
          </w:tcPr>
          <w:p>
            <w:pPr>
              <w:jc w:val="center"/>
              <w:rPr>
                <w:b/>
                <w:sz w:val="24"/>
                <w:szCs w:val="24"/>
              </w:rPr>
            </w:pPr>
            <w:r>
              <w:rPr>
                <w:rFonts w:hint="eastAsia"/>
                <w:b/>
                <w:sz w:val="24"/>
                <w:szCs w:val="24"/>
              </w:rPr>
              <w:t>教学</w:t>
            </w:r>
          </w:p>
          <w:p>
            <w:pPr>
              <w:jc w:val="center"/>
              <w:rPr>
                <w:b/>
                <w:sz w:val="24"/>
                <w:szCs w:val="24"/>
              </w:rPr>
            </w:pPr>
            <w:r>
              <w:rPr>
                <w:rFonts w:hint="eastAsia"/>
                <w:b/>
                <w:sz w:val="24"/>
                <w:szCs w:val="24"/>
              </w:rPr>
              <w:t>目标</w:t>
            </w:r>
          </w:p>
        </w:tc>
        <w:tc>
          <w:tcPr>
            <w:tcW w:w="1230" w:type="dxa"/>
            <w:tcBorders>
              <w:top w:val="single" w:color="auto" w:sz="12" w:space="0"/>
            </w:tcBorders>
            <w:shd w:val="clear" w:color="auto" w:fill="E6E6E6"/>
            <w:vAlign w:val="center"/>
          </w:tcPr>
          <w:p>
            <w:pPr>
              <w:jc w:val="center"/>
              <w:rPr>
                <w:b/>
                <w:sz w:val="24"/>
                <w:szCs w:val="24"/>
              </w:rPr>
            </w:pPr>
            <w:r>
              <w:rPr>
                <w:rFonts w:hint="eastAsia"/>
                <w:b/>
                <w:sz w:val="24"/>
                <w:szCs w:val="24"/>
              </w:rPr>
              <w:t>主</w:t>
            </w:r>
            <w:r>
              <w:rPr>
                <w:b/>
                <w:sz w:val="24"/>
                <w:szCs w:val="24"/>
              </w:rPr>
              <w:t>要</w:t>
            </w:r>
            <w:r>
              <w:rPr>
                <w:rFonts w:hint="eastAsia"/>
                <w:b/>
                <w:sz w:val="24"/>
                <w:szCs w:val="24"/>
              </w:rPr>
              <w:t>教学内容</w:t>
            </w:r>
          </w:p>
        </w:tc>
        <w:tc>
          <w:tcPr>
            <w:tcW w:w="1560" w:type="dxa"/>
            <w:tcBorders>
              <w:top w:val="single" w:color="auto" w:sz="12" w:space="0"/>
            </w:tcBorders>
            <w:shd w:val="clear" w:color="auto" w:fill="E6E6E6"/>
          </w:tcPr>
          <w:p>
            <w:pPr>
              <w:jc w:val="center"/>
              <w:rPr>
                <w:b/>
                <w:sz w:val="24"/>
                <w:szCs w:val="24"/>
              </w:rPr>
            </w:pPr>
            <w:r>
              <w:rPr>
                <w:rFonts w:hint="eastAsia"/>
                <w:b/>
                <w:sz w:val="24"/>
                <w:szCs w:val="24"/>
              </w:rPr>
              <w:t>参考</w:t>
            </w:r>
            <w:r>
              <w:rPr>
                <w:b/>
                <w:sz w:val="24"/>
                <w:szCs w:val="24"/>
              </w:rPr>
              <w:t>性学习任务</w:t>
            </w:r>
          </w:p>
        </w:tc>
        <w:tc>
          <w:tcPr>
            <w:tcW w:w="1935" w:type="dxa"/>
            <w:tcBorders>
              <w:top w:val="single" w:color="auto" w:sz="12" w:space="0"/>
            </w:tcBorders>
            <w:shd w:val="clear" w:color="auto" w:fill="E6E6E6"/>
            <w:vAlign w:val="center"/>
          </w:tcPr>
          <w:p>
            <w:pPr>
              <w:jc w:val="center"/>
              <w:rPr>
                <w:b/>
                <w:sz w:val="24"/>
                <w:szCs w:val="24"/>
              </w:rPr>
            </w:pPr>
            <w:r>
              <w:rPr>
                <w:rFonts w:hint="eastAsia"/>
                <w:b/>
                <w:sz w:val="24"/>
                <w:szCs w:val="24"/>
              </w:rPr>
              <w:t>教学要求</w:t>
            </w:r>
          </w:p>
        </w:tc>
        <w:tc>
          <w:tcPr>
            <w:tcW w:w="840" w:type="dxa"/>
            <w:tcBorders>
              <w:top w:val="single" w:color="auto" w:sz="12" w:space="0"/>
            </w:tcBorders>
            <w:shd w:val="clear" w:color="auto" w:fill="E6E6E6"/>
            <w:vAlign w:val="center"/>
          </w:tcPr>
          <w:p>
            <w:pPr>
              <w:jc w:val="center"/>
              <w:rPr>
                <w:b/>
                <w:sz w:val="24"/>
                <w:szCs w:val="24"/>
              </w:rPr>
            </w:pPr>
            <w:r>
              <w:rPr>
                <w:b/>
                <w:sz w:val="24"/>
                <w:szCs w:val="24"/>
              </w:rPr>
              <w:t>参考</w:t>
            </w:r>
          </w:p>
          <w:p>
            <w:pPr>
              <w:jc w:val="center"/>
              <w:rPr>
                <w:b/>
                <w:sz w:val="24"/>
                <w:szCs w:val="24"/>
              </w:rPr>
            </w:pPr>
            <w:r>
              <w:rPr>
                <w:b/>
                <w:sz w:val="24"/>
                <w:szCs w:val="24"/>
              </w:rPr>
              <w:t>学时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7" w:hRule="exact"/>
          <w:jc w:val="center"/>
        </w:trPr>
        <w:tc>
          <w:tcPr>
            <w:tcW w:w="767" w:type="dxa"/>
            <w:vAlign w:val="center"/>
          </w:tcPr>
          <w:p>
            <w:pPr>
              <w:spacing w:line="280" w:lineRule="exact"/>
              <w:jc w:val="center"/>
              <w:rPr>
                <w:rFonts w:ascii="仿宋" w:hAnsi="仿宋" w:eastAsia="仿宋" w:cs="仿宋"/>
                <w:sz w:val="21"/>
                <w:szCs w:val="21"/>
              </w:rPr>
            </w:pPr>
            <w:r>
              <w:rPr>
                <w:rFonts w:hint="eastAsia" w:ascii="仿宋" w:hAnsi="仿宋" w:eastAsia="仿宋" w:cs="仿宋"/>
                <w:sz w:val="21"/>
                <w:szCs w:val="21"/>
              </w:rPr>
              <w:t>1</w:t>
            </w:r>
          </w:p>
        </w:tc>
        <w:tc>
          <w:tcPr>
            <w:tcW w:w="1070" w:type="dxa"/>
            <w:vAlign w:val="center"/>
          </w:tcPr>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样品的常规仪器分析</w:t>
            </w:r>
          </w:p>
        </w:tc>
        <w:tc>
          <w:tcPr>
            <w:tcW w:w="2065"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掌握电位分析、光度分析和色谱分析的基本知识，熟悉仪器结构，了解维护保养知识，掌握分光光度计和酸度计使用操作，熟悉色谱分析仪器使用操作方法，培养耐心细致的工作态度及成本意识。</w:t>
            </w:r>
          </w:p>
        </w:tc>
        <w:tc>
          <w:tcPr>
            <w:tcW w:w="1230" w:type="dxa"/>
            <w:vAlign w:val="center"/>
          </w:tcPr>
          <w:p>
            <w:pPr>
              <w:spacing w:line="280" w:lineRule="exact"/>
              <w:jc w:val="left"/>
              <w:rPr>
                <w:rFonts w:ascii="仿宋" w:hAnsi="仿宋" w:eastAsia="仿宋" w:cs="仿宋"/>
                <w:sz w:val="21"/>
                <w:szCs w:val="21"/>
              </w:rPr>
            </w:pPr>
            <w:r>
              <w:rPr>
                <w:rFonts w:hint="eastAsia" w:ascii="仿宋" w:hAnsi="仿宋" w:eastAsia="仿宋" w:cs="仿宋"/>
                <w:sz w:val="21"/>
                <w:szCs w:val="21"/>
              </w:rPr>
              <w:t>紫外-可见分光光度法、电位分析法、气相色谱分析法等。</w:t>
            </w:r>
          </w:p>
        </w:tc>
        <w:tc>
          <w:tcPr>
            <w:tcW w:w="1560" w:type="dxa"/>
          </w:tcPr>
          <w:p>
            <w:pPr>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1.生活饮用水pH的测定</w:t>
            </w:r>
          </w:p>
          <w:p>
            <w:pPr>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2.工业废水中氟化物的测定</w:t>
            </w:r>
          </w:p>
          <w:p>
            <w:pPr>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3.酱油中氨基酸态氮的测定</w:t>
            </w:r>
          </w:p>
          <w:p>
            <w:pPr>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4.工业盐酸中铁含量的测定</w:t>
            </w:r>
          </w:p>
          <w:p>
            <w:pPr>
              <w:spacing w:line="280" w:lineRule="exact"/>
              <w:jc w:val="left"/>
              <w:rPr>
                <w:rFonts w:ascii="仿宋" w:hAnsi="仿宋" w:eastAsia="仿宋" w:cs="仿宋"/>
                <w:sz w:val="21"/>
                <w:szCs w:val="21"/>
              </w:rPr>
            </w:pPr>
            <w:r>
              <w:rPr>
                <w:rFonts w:hint="eastAsia" w:ascii="仿宋" w:hAnsi="仿宋" w:eastAsia="仿宋" w:cs="仿宋"/>
                <w:kern w:val="0"/>
                <w:sz w:val="21"/>
                <w:szCs w:val="21"/>
              </w:rPr>
              <w:t>5.水中硝酸盐氮含量的测定</w:t>
            </w:r>
          </w:p>
        </w:tc>
        <w:tc>
          <w:tcPr>
            <w:tcW w:w="1935" w:type="dxa"/>
            <w:vAlign w:val="center"/>
          </w:tcPr>
          <w:p>
            <w:pPr>
              <w:widowControl/>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1.将理论和实训结合在一起，采用模块式教学。</w:t>
            </w:r>
          </w:p>
          <w:p>
            <w:pPr>
              <w:widowControl/>
              <w:spacing w:line="280" w:lineRule="exact"/>
              <w:jc w:val="left"/>
              <w:rPr>
                <w:rFonts w:ascii="仿宋" w:hAnsi="仿宋" w:eastAsia="仿宋" w:cs="仿宋"/>
                <w:spacing w:val="-2"/>
                <w:kern w:val="0"/>
                <w:sz w:val="21"/>
                <w:szCs w:val="21"/>
              </w:rPr>
            </w:pPr>
            <w:r>
              <w:rPr>
                <w:rFonts w:hint="eastAsia" w:ascii="仿宋" w:hAnsi="仿宋" w:eastAsia="仿宋" w:cs="仿宋"/>
                <w:spacing w:val="-2"/>
                <w:kern w:val="0"/>
                <w:sz w:val="21"/>
                <w:szCs w:val="21"/>
              </w:rPr>
              <w:t>2.要严格按各项能力标准考核学生，使学生在理论知识和实际操作技能上达到中级化学检验工的水平。</w:t>
            </w:r>
          </w:p>
          <w:p>
            <w:pPr>
              <w:widowControl/>
              <w:spacing w:line="280" w:lineRule="exact"/>
              <w:jc w:val="left"/>
              <w:rPr>
                <w:rFonts w:ascii="仿宋" w:hAnsi="仿宋" w:eastAsia="仿宋" w:cs="仿宋"/>
                <w:kern w:val="0"/>
                <w:sz w:val="21"/>
                <w:szCs w:val="21"/>
              </w:rPr>
            </w:pPr>
            <w:r>
              <w:rPr>
                <w:rFonts w:hint="eastAsia" w:ascii="仿宋" w:hAnsi="仿宋" w:eastAsia="仿宋" w:cs="仿宋"/>
                <w:kern w:val="0"/>
                <w:sz w:val="21"/>
                <w:szCs w:val="21"/>
              </w:rPr>
              <w:t>3.注意现代仪器分析的发展，适时引入新的内容。</w:t>
            </w:r>
          </w:p>
          <w:p>
            <w:pPr>
              <w:spacing w:line="280" w:lineRule="exact"/>
              <w:jc w:val="left"/>
              <w:rPr>
                <w:rFonts w:ascii="仿宋" w:hAnsi="仿宋" w:eastAsia="仿宋" w:cs="仿宋"/>
                <w:sz w:val="21"/>
                <w:szCs w:val="21"/>
              </w:rPr>
            </w:pPr>
            <w:r>
              <w:rPr>
                <w:rFonts w:hint="eastAsia" w:ascii="仿宋" w:hAnsi="仿宋" w:eastAsia="仿宋" w:cs="仿宋"/>
                <w:kern w:val="0"/>
                <w:sz w:val="21"/>
                <w:szCs w:val="21"/>
              </w:rPr>
              <w:t>4.考核方法：闭卷、实操。</w:t>
            </w:r>
          </w:p>
        </w:tc>
        <w:tc>
          <w:tcPr>
            <w:tcW w:w="840" w:type="dxa"/>
            <w:vAlign w:val="center"/>
          </w:tcPr>
          <w:p>
            <w:pPr>
              <w:spacing w:line="280" w:lineRule="exact"/>
              <w:jc w:val="center"/>
              <w:rPr>
                <w:rFonts w:ascii="仿宋" w:hAnsi="仿宋" w:eastAsia="仿宋" w:cs="仿宋"/>
                <w:sz w:val="21"/>
                <w:szCs w:val="21"/>
              </w:rPr>
            </w:pPr>
            <w:r>
              <w:rPr>
                <w:rFonts w:hint="eastAsia" w:ascii="仿宋" w:hAnsi="仿宋" w:eastAsia="仿宋" w:cs="仿宋"/>
                <w:color w:val="000000"/>
                <w:sz w:val="21"/>
                <w:szCs w:val="21"/>
              </w:rPr>
              <w:t>252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67" w:hRule="exact"/>
          <w:jc w:val="center"/>
        </w:trPr>
        <w:tc>
          <w:tcPr>
            <w:tcW w:w="767" w:type="dxa"/>
            <w:vAlign w:val="center"/>
          </w:tcPr>
          <w:p>
            <w:pPr>
              <w:jc w:val="center"/>
              <w:rPr>
                <w:sz w:val="24"/>
                <w:szCs w:val="24"/>
              </w:rPr>
            </w:pPr>
            <w:r>
              <w:rPr>
                <w:rFonts w:hint="eastAsia"/>
                <w:sz w:val="24"/>
                <w:szCs w:val="24"/>
              </w:rPr>
              <w:t>2</w:t>
            </w:r>
          </w:p>
        </w:tc>
        <w:tc>
          <w:tcPr>
            <w:tcW w:w="1070" w:type="dxa"/>
            <w:vAlign w:val="center"/>
          </w:tcPr>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样品的滴定分析</w:t>
            </w:r>
          </w:p>
        </w:tc>
        <w:tc>
          <w:tcPr>
            <w:tcW w:w="2065" w:type="dxa"/>
            <w:vAlign w:val="center"/>
          </w:tcPr>
          <w:p>
            <w:pPr>
              <w:spacing w:line="280" w:lineRule="exact"/>
              <w:ind w:firstLine="210" w:firstLineChars="100"/>
              <w:rPr>
                <w:rFonts w:ascii="仿宋" w:hAnsi="仿宋" w:eastAsia="仿宋" w:cs="仿宋"/>
                <w:sz w:val="21"/>
                <w:szCs w:val="21"/>
              </w:rPr>
            </w:pPr>
            <w:r>
              <w:rPr>
                <w:rFonts w:hint="eastAsia" w:ascii="仿宋" w:hAnsi="仿宋" w:eastAsia="仿宋" w:cs="仿宋"/>
                <w:color w:val="000000"/>
                <w:sz w:val="21"/>
                <w:szCs w:val="21"/>
              </w:rPr>
              <w:t>熟悉酸碱滴定法、配位滴定法、氧化还原滴定法和沉淀滴定法的相关知识，熟练掌握滴定分析操作技能，能依据分析标准选择适当的分析方法，正确、规范地完成各分析检验项目，并对检验结果进行分析评价，培养严以律己、精益求精的工匠精神。</w:t>
            </w:r>
          </w:p>
        </w:tc>
        <w:tc>
          <w:tcPr>
            <w:tcW w:w="1230" w:type="dxa"/>
            <w:vAlign w:val="center"/>
          </w:tcPr>
          <w:p>
            <w:pPr>
              <w:spacing w:line="280" w:lineRule="exact"/>
              <w:ind w:firstLine="210" w:firstLineChars="100"/>
              <w:rPr>
                <w:rFonts w:ascii="仿宋" w:hAnsi="仿宋" w:eastAsia="仿宋" w:cs="仿宋"/>
                <w:sz w:val="21"/>
                <w:szCs w:val="21"/>
              </w:rPr>
            </w:pPr>
            <w:r>
              <w:rPr>
                <w:rFonts w:hint="eastAsia" w:ascii="仿宋" w:hAnsi="仿宋" w:eastAsia="仿宋" w:cs="仿宋"/>
                <w:color w:val="000000"/>
                <w:sz w:val="21"/>
                <w:szCs w:val="21"/>
              </w:rPr>
              <w:t>中间控制分析（盐水中NaOH、</w:t>
            </w:r>
            <w:r>
              <w:rPr>
                <w:rFonts w:hint="eastAsia" w:ascii="仿宋" w:hAnsi="仿宋" w:eastAsia="仿宋" w:cs="仿宋"/>
                <w:bCs/>
                <w:color w:val="000000"/>
                <w:sz w:val="21"/>
                <w:szCs w:val="21"/>
              </w:rPr>
              <w:t>水中Ca</w:t>
            </w:r>
            <w:r>
              <w:rPr>
                <w:rFonts w:hint="eastAsia" w:ascii="仿宋" w:hAnsi="仿宋" w:eastAsia="仿宋" w:cs="仿宋"/>
                <w:bCs/>
                <w:color w:val="000000"/>
                <w:sz w:val="21"/>
                <w:szCs w:val="21"/>
                <w:vertAlign w:val="superscript"/>
              </w:rPr>
              <w:t>2+</w:t>
            </w:r>
            <w:r>
              <w:rPr>
                <w:rFonts w:hint="eastAsia" w:ascii="仿宋" w:hAnsi="仿宋" w:eastAsia="仿宋" w:cs="仿宋"/>
                <w:bCs/>
                <w:color w:val="000000"/>
                <w:sz w:val="21"/>
                <w:szCs w:val="21"/>
              </w:rPr>
              <w:t>和Mg</w:t>
            </w:r>
            <w:r>
              <w:rPr>
                <w:rFonts w:hint="eastAsia" w:ascii="仿宋" w:hAnsi="仿宋" w:eastAsia="仿宋" w:cs="仿宋"/>
                <w:bCs/>
                <w:color w:val="000000"/>
                <w:sz w:val="21"/>
                <w:szCs w:val="21"/>
                <w:vertAlign w:val="superscript"/>
              </w:rPr>
              <w:t>2+</w:t>
            </w:r>
            <w:r>
              <w:rPr>
                <w:rFonts w:hint="eastAsia" w:ascii="仿宋" w:hAnsi="仿宋" w:eastAsia="仿宋" w:cs="仿宋"/>
                <w:bCs/>
                <w:color w:val="000000"/>
                <w:sz w:val="21"/>
                <w:szCs w:val="21"/>
              </w:rPr>
              <w:t>），</w:t>
            </w:r>
            <w:r>
              <w:rPr>
                <w:rFonts w:hint="eastAsia" w:ascii="仿宋" w:hAnsi="仿宋" w:eastAsia="仿宋" w:cs="仿宋"/>
                <w:color w:val="000000"/>
                <w:sz w:val="21"/>
                <w:szCs w:val="21"/>
              </w:rPr>
              <w:t>原料分析（工业盐中Cl</w:t>
            </w:r>
            <w:r>
              <w:rPr>
                <w:rFonts w:hint="eastAsia" w:ascii="仿宋" w:hAnsi="仿宋" w:eastAsia="仿宋" w:cs="仿宋"/>
                <w:color w:val="000000"/>
                <w:sz w:val="21"/>
                <w:szCs w:val="21"/>
                <w:vertAlign w:val="superscript"/>
              </w:rPr>
              <w:t>-</w:t>
            </w:r>
            <w:r>
              <w:rPr>
                <w:rFonts w:hint="eastAsia" w:ascii="仿宋" w:hAnsi="仿宋" w:eastAsia="仿宋" w:cs="仿宋"/>
                <w:color w:val="000000"/>
                <w:sz w:val="21"/>
                <w:szCs w:val="21"/>
              </w:rPr>
              <w:t>、</w:t>
            </w:r>
            <w:r>
              <w:rPr>
                <w:rFonts w:hint="eastAsia" w:ascii="仿宋" w:hAnsi="仿宋" w:eastAsia="仿宋" w:cs="仿宋"/>
                <w:bCs/>
                <w:color w:val="000000"/>
                <w:sz w:val="21"/>
                <w:szCs w:val="21"/>
              </w:rPr>
              <w:t>还原焙烧料中Mn</w:t>
            </w:r>
            <w:r>
              <w:rPr>
                <w:rFonts w:hint="eastAsia" w:ascii="仿宋" w:hAnsi="仿宋" w:eastAsia="仿宋" w:cs="仿宋"/>
                <w:bCs/>
                <w:color w:val="000000"/>
                <w:sz w:val="21"/>
                <w:szCs w:val="21"/>
                <w:vertAlign w:val="superscript"/>
              </w:rPr>
              <w:t>4+</w:t>
            </w:r>
            <w:r>
              <w:rPr>
                <w:rFonts w:hint="eastAsia" w:ascii="仿宋" w:hAnsi="仿宋" w:eastAsia="仿宋" w:cs="仿宋"/>
                <w:color w:val="000000"/>
                <w:sz w:val="21"/>
                <w:szCs w:val="21"/>
              </w:rPr>
              <w:t>），产品分析（盐酸总酸度、双氧水中H</w:t>
            </w:r>
            <w:r>
              <w:rPr>
                <w:rFonts w:hint="eastAsia" w:ascii="仿宋" w:hAnsi="仿宋" w:eastAsia="仿宋" w:cs="仿宋"/>
                <w:color w:val="000000"/>
                <w:sz w:val="21"/>
                <w:szCs w:val="21"/>
                <w:vertAlign w:val="subscript"/>
              </w:rPr>
              <w:t>2</w:t>
            </w:r>
            <w:r>
              <w:rPr>
                <w:rFonts w:hint="eastAsia" w:ascii="仿宋" w:hAnsi="仿宋" w:eastAsia="仿宋" w:cs="仿宋"/>
                <w:color w:val="000000"/>
                <w:sz w:val="21"/>
                <w:szCs w:val="21"/>
              </w:rPr>
              <w:t>O</w:t>
            </w:r>
            <w:r>
              <w:rPr>
                <w:rFonts w:hint="eastAsia" w:ascii="仿宋" w:hAnsi="仿宋" w:eastAsia="仿宋" w:cs="仿宋"/>
                <w:color w:val="000000"/>
                <w:sz w:val="21"/>
                <w:szCs w:val="21"/>
                <w:vertAlign w:val="subscript"/>
              </w:rPr>
              <w:t>2</w:t>
            </w:r>
            <w:r>
              <w:rPr>
                <w:rFonts w:hint="eastAsia" w:ascii="仿宋" w:hAnsi="仿宋" w:eastAsia="仿宋" w:cs="仿宋"/>
                <w:color w:val="000000"/>
                <w:sz w:val="21"/>
                <w:szCs w:val="21"/>
              </w:rPr>
              <w:t>、</w:t>
            </w:r>
            <w:r>
              <w:rPr>
                <w:rFonts w:hint="eastAsia" w:ascii="仿宋" w:hAnsi="仿宋" w:eastAsia="仿宋" w:cs="仿宋"/>
                <w:bCs/>
                <w:color w:val="000000"/>
                <w:sz w:val="21"/>
                <w:szCs w:val="21"/>
              </w:rPr>
              <w:t>净水中AlCl</w:t>
            </w:r>
            <w:r>
              <w:rPr>
                <w:rFonts w:hint="eastAsia" w:ascii="仿宋" w:hAnsi="仿宋" w:eastAsia="仿宋" w:cs="仿宋"/>
                <w:bCs/>
                <w:color w:val="000000"/>
                <w:sz w:val="21"/>
                <w:szCs w:val="21"/>
                <w:vertAlign w:val="subscript"/>
              </w:rPr>
              <w:t>3</w:t>
            </w:r>
            <w:r>
              <w:rPr>
                <w:rFonts w:hint="eastAsia" w:ascii="仿宋" w:hAnsi="仿宋" w:eastAsia="仿宋" w:cs="仿宋"/>
                <w:color w:val="000000"/>
                <w:sz w:val="21"/>
                <w:szCs w:val="21"/>
              </w:rPr>
              <w:t>）。</w:t>
            </w:r>
          </w:p>
        </w:tc>
        <w:tc>
          <w:tcPr>
            <w:tcW w:w="1560" w:type="dxa"/>
          </w:tcPr>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1.工业乙酸含量的测定</w:t>
            </w:r>
          </w:p>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2.工业烧碱中 NaOH 和 Na2CO3 含量的测定</w:t>
            </w:r>
          </w:p>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3.生活饮用水总硬度的测定</w:t>
            </w:r>
          </w:p>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4.工业结晶氯化铝含量的测定</w:t>
            </w:r>
          </w:p>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5.生活饮用水中氯离子含量的测定</w:t>
            </w:r>
          </w:p>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6.双氧水中过氧化氢含量的测定</w:t>
            </w:r>
          </w:p>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7.食用植物油脂中过氧化值的测定</w:t>
            </w:r>
          </w:p>
          <w:p>
            <w:pPr>
              <w:spacing w:line="280" w:lineRule="exact"/>
              <w:rPr>
                <w:rFonts w:ascii="仿宋" w:hAnsi="仿宋" w:eastAsia="仿宋" w:cs="仿宋"/>
                <w:sz w:val="21"/>
                <w:szCs w:val="21"/>
              </w:rPr>
            </w:pPr>
            <w:r>
              <w:rPr>
                <w:rFonts w:hint="eastAsia" w:ascii="仿宋" w:hAnsi="仿宋" w:eastAsia="仿宋" w:cs="仿宋"/>
                <w:color w:val="000000"/>
                <w:sz w:val="21"/>
                <w:szCs w:val="21"/>
              </w:rPr>
              <w:t>8.白砂糖中二氧化硫的测定</w:t>
            </w:r>
          </w:p>
        </w:tc>
        <w:tc>
          <w:tcPr>
            <w:tcW w:w="1935" w:type="dxa"/>
            <w:vAlign w:val="center"/>
          </w:tcPr>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1.结合实际工作过程组织教学。</w:t>
            </w:r>
          </w:p>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2.拍摄相关视频辅助教学。</w:t>
            </w:r>
          </w:p>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3.教学过程以小组学习为主，教师讲授和独立学习为辅，三种方式交替进行，项目教学法贯穿教学过程。</w:t>
            </w:r>
          </w:p>
          <w:p>
            <w:pPr>
              <w:spacing w:line="280" w:lineRule="exact"/>
              <w:rPr>
                <w:rFonts w:ascii="仿宋" w:hAnsi="仿宋" w:eastAsia="仿宋" w:cs="仿宋"/>
                <w:color w:val="000000"/>
                <w:sz w:val="21"/>
                <w:szCs w:val="21"/>
              </w:rPr>
            </w:pPr>
            <w:r>
              <w:rPr>
                <w:rFonts w:hint="eastAsia" w:ascii="仿宋" w:hAnsi="仿宋" w:eastAsia="仿宋" w:cs="仿宋"/>
                <w:color w:val="000000"/>
                <w:sz w:val="21"/>
                <w:szCs w:val="21"/>
              </w:rPr>
              <w:t>4.加强学生操作规范性和检验结果准确性的教学。</w:t>
            </w:r>
          </w:p>
          <w:p>
            <w:pPr>
              <w:spacing w:line="280" w:lineRule="exact"/>
              <w:rPr>
                <w:rFonts w:ascii="仿宋" w:hAnsi="仿宋" w:eastAsia="仿宋" w:cs="仿宋"/>
                <w:sz w:val="21"/>
                <w:szCs w:val="21"/>
              </w:rPr>
            </w:pPr>
            <w:r>
              <w:rPr>
                <w:rFonts w:hint="eastAsia" w:ascii="仿宋" w:hAnsi="仿宋" w:eastAsia="仿宋" w:cs="仿宋"/>
                <w:color w:val="000000"/>
                <w:sz w:val="21"/>
                <w:szCs w:val="21"/>
              </w:rPr>
              <w:t>5.安排学生到生产企业进行教学实习，在实际工作岗位上实践锻炼，同时接受企业专家评价，检验教学质量。</w:t>
            </w:r>
          </w:p>
        </w:tc>
        <w:tc>
          <w:tcPr>
            <w:tcW w:w="840" w:type="dxa"/>
            <w:vAlign w:val="center"/>
          </w:tcPr>
          <w:p>
            <w:pPr>
              <w:spacing w:line="280" w:lineRule="exact"/>
              <w:jc w:val="center"/>
              <w:rPr>
                <w:rFonts w:ascii="仿宋" w:hAnsi="仿宋" w:eastAsia="仿宋" w:cs="仿宋"/>
                <w:sz w:val="21"/>
                <w:szCs w:val="21"/>
              </w:rPr>
            </w:pPr>
            <w:r>
              <w:rPr>
                <w:rFonts w:hint="eastAsia" w:ascii="仿宋" w:hAnsi="仿宋" w:eastAsia="仿宋" w:cs="仿宋"/>
                <w:color w:val="000000"/>
                <w:sz w:val="21"/>
                <w:szCs w:val="21"/>
              </w:rPr>
              <w:t>252</w:t>
            </w:r>
          </w:p>
        </w:tc>
      </w:tr>
    </w:tbl>
    <w:p>
      <w:pPr>
        <w:adjustRightInd w:val="0"/>
        <w:snapToGrid w:val="0"/>
        <w:spacing w:line="560" w:lineRule="exact"/>
        <w:ind w:firstLine="640" w:firstLineChars="200"/>
        <w:jc w:val="left"/>
        <w:rPr>
          <w:rFonts w:hint="eastAsia" w:ascii="仿宋_GB2312" w:hAnsi="黑体" w:eastAsia="仿宋_GB2312"/>
          <w:color w:val="000000"/>
          <w:sz w:val="32"/>
          <w:lang w:eastAsia="zh-CN"/>
        </w:rPr>
      </w:pPr>
      <w:r>
        <w:rPr>
          <w:rFonts w:hint="eastAsia" w:ascii="仿宋_GB2312" w:hAnsi="黑体"/>
          <w:color w:val="000000"/>
          <w:sz w:val="32"/>
        </w:rPr>
        <w:t>（五）跟</w:t>
      </w:r>
      <w:r>
        <w:rPr>
          <w:rFonts w:ascii="仿宋_GB2312" w:hAnsi="黑体"/>
          <w:color w:val="000000"/>
          <w:sz w:val="32"/>
        </w:rPr>
        <w:t>岗实习</w:t>
      </w:r>
    </w:p>
    <w:p>
      <w:pPr>
        <w:adjustRightInd w:val="0"/>
        <w:snapToGrid w:val="0"/>
        <w:spacing w:line="560" w:lineRule="exact"/>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     1.实习内容</w:t>
      </w:r>
    </w:p>
    <w:p>
      <w:pPr>
        <w:adjustRightInd w:val="0"/>
        <w:snapToGrid w:val="0"/>
        <w:spacing w:line="560" w:lineRule="exact"/>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    跟岗实习是中职教育实践性教学环节的重要组成部分，学生通过跟岗学习，了解企业文化和生产经营，对个人从事的职业有初步的认识和体验，增强对本专业职业的认同感，通过岗位跟岗跟班学习，对本专业需要具备的技能有一定的了解，同时学会简单的跟岗实习操作方法。</w:t>
      </w:r>
    </w:p>
    <w:p>
      <w:pPr>
        <w:adjustRightInd w:val="0"/>
        <w:snapToGrid w:val="0"/>
        <w:spacing w:line="560" w:lineRule="exact"/>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    学生通过跟岗实习，了解行业的特点、企业在该行业中所处的位置以及经营状况，了解企业的组织结构、企业的规章制度以及企业的主要业务流程。通过考察和实际操作，能够熟悉企业的业务流程、工作程序，为下一步的专业技能训练学习打下良好基础。</w:t>
      </w:r>
    </w:p>
    <w:p>
      <w:pPr>
        <w:adjustRightInd w:val="0"/>
        <w:snapToGrid w:val="0"/>
        <w:spacing w:line="560" w:lineRule="exact"/>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    2.实习时间</w:t>
      </w:r>
    </w:p>
    <w:p>
      <w:pPr>
        <w:adjustRightInd w:val="0"/>
        <w:snapToGrid w:val="0"/>
        <w:spacing w:line="560" w:lineRule="exact"/>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    跟岗实习安排在第三学期进行。</w:t>
      </w:r>
    </w:p>
    <w:p>
      <w:pPr>
        <w:adjustRightInd w:val="0"/>
        <w:snapToGrid w:val="0"/>
        <w:spacing w:line="560" w:lineRule="exact"/>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    3.实习单位</w:t>
      </w:r>
    </w:p>
    <w:p>
      <w:pPr>
        <w:adjustRightInd w:val="0"/>
        <w:snapToGrid w:val="0"/>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主要安排在区内外化工企业，如南宁化工有限公司、柳化集团有限公司、钦州天亿石化有限公司、广西新鑫能源科技有限公司、广西新天德能源有限公司等。</w:t>
      </w:r>
    </w:p>
    <w:p>
      <w:pPr>
        <w:adjustRightInd w:val="0"/>
        <w:snapToGrid w:val="0"/>
        <w:spacing w:line="560" w:lineRule="exact"/>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4.成绩考核</w:t>
      </w:r>
    </w:p>
    <w:p>
      <w:pPr>
        <w:adjustRightInd w:val="0"/>
        <w:snapToGrid w:val="0"/>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   跟岗实习带队老师、跟岗实习企业对学生的实习情况进行考核。凡无故不参加实习者实习成绩按零分计,实习成绩不及格者延期毕业。</w:t>
      </w:r>
    </w:p>
    <w:p>
      <w:pPr>
        <w:adjustRightInd w:val="0"/>
        <w:snapToGrid w:val="0"/>
        <w:spacing w:line="600" w:lineRule="exact"/>
        <w:ind w:firstLine="640" w:firstLineChars="200"/>
        <w:rPr>
          <w:rFonts w:ascii="仿宋_GB2312" w:hAnsi="黑体"/>
          <w:color w:val="000000"/>
          <w:sz w:val="32"/>
        </w:rPr>
      </w:pPr>
      <w:r>
        <w:rPr>
          <w:rFonts w:hint="eastAsia" w:ascii="仿宋_GB2312" w:hAnsi="黑体"/>
          <w:color w:val="000000"/>
          <w:sz w:val="32"/>
        </w:rPr>
        <w:t>（六）顶岗实习</w:t>
      </w:r>
    </w:p>
    <w:p>
      <w:pPr>
        <w:pStyle w:val="16"/>
        <w:spacing w:line="560" w:lineRule="exact"/>
        <w:ind w:firstLine="560"/>
        <w:rPr>
          <w:rFonts w:ascii="仿宋" w:hAnsi="仿宋" w:eastAsia="仿宋" w:cs="仿宋"/>
          <w:color w:val="000000"/>
          <w:kern w:val="2"/>
          <w:sz w:val="28"/>
          <w:szCs w:val="28"/>
        </w:rPr>
      </w:pPr>
      <w:r>
        <w:rPr>
          <w:rFonts w:hint="eastAsia" w:ascii="仿宋" w:hAnsi="仿宋" w:eastAsia="仿宋" w:cs="仿宋"/>
          <w:color w:val="000000"/>
          <w:kern w:val="2"/>
          <w:sz w:val="28"/>
          <w:szCs w:val="28"/>
        </w:rPr>
        <w:t>1.顶岗生产实习内容：认识本专业在生产过程中的重要性，明确本专业学习的目的；熟悉就业岗位，按企业的劳动组织方式，用所学知识和技能完成本工种的岗位实习任务；结合实习岗位学习新知识、新技能，认识岗位职责，并自觉履行；认识企业文化，尽快由学生向技术工人转型。具体内容有：分析试样的采集与制备，原料、中间产物和产品的检验，分析数据的处理等。</w:t>
      </w:r>
    </w:p>
    <w:p>
      <w:pPr>
        <w:pStyle w:val="16"/>
        <w:spacing w:line="560" w:lineRule="exact"/>
        <w:ind w:firstLine="560"/>
        <w:rPr>
          <w:rFonts w:ascii="仿宋" w:hAnsi="仿宋" w:eastAsia="仿宋" w:cs="仿宋"/>
          <w:color w:val="000000"/>
          <w:kern w:val="2"/>
          <w:sz w:val="28"/>
          <w:szCs w:val="28"/>
        </w:rPr>
      </w:pPr>
      <w:r>
        <w:rPr>
          <w:rFonts w:hint="eastAsia" w:ascii="仿宋" w:hAnsi="仿宋" w:eastAsia="仿宋" w:cs="仿宋"/>
          <w:color w:val="000000"/>
          <w:kern w:val="2"/>
          <w:sz w:val="28"/>
          <w:szCs w:val="28"/>
        </w:rPr>
        <w:t>2.实习时间：实施“2+0.5+0.5”人才培养模式，第五学期在校进行专业选修课学习，第六学期进行顶岗实习。</w:t>
      </w:r>
    </w:p>
    <w:p>
      <w:pPr>
        <w:pStyle w:val="16"/>
        <w:spacing w:line="560" w:lineRule="exact"/>
        <w:ind w:firstLine="560"/>
        <w:rPr>
          <w:rFonts w:ascii="仿宋" w:hAnsi="仿宋" w:eastAsia="仿宋" w:cs="仿宋"/>
          <w:color w:val="000000"/>
          <w:kern w:val="2"/>
          <w:sz w:val="28"/>
          <w:szCs w:val="28"/>
        </w:rPr>
      </w:pPr>
      <w:r>
        <w:rPr>
          <w:rFonts w:hint="eastAsia" w:ascii="仿宋" w:hAnsi="仿宋" w:eastAsia="仿宋" w:cs="仿宋"/>
          <w:color w:val="000000"/>
          <w:kern w:val="2"/>
          <w:sz w:val="28"/>
          <w:szCs w:val="28"/>
        </w:rPr>
        <w:t>3.实习地点：广西区内外的化工企业及相关企业，实习岗位与所学专业面向的岗位群相匹配。如田东锦盛化工有限公司、中信大锰矿业有限公司、广州立白企业集团有限公司等。</w:t>
      </w:r>
    </w:p>
    <w:p>
      <w:pPr>
        <w:pStyle w:val="16"/>
        <w:spacing w:line="560" w:lineRule="exact"/>
        <w:ind w:firstLine="560"/>
        <w:rPr>
          <w:rFonts w:ascii="仿宋" w:hAnsi="仿宋" w:eastAsia="仿宋" w:cs="仿宋"/>
          <w:color w:val="000000"/>
          <w:kern w:val="2"/>
          <w:sz w:val="28"/>
          <w:szCs w:val="28"/>
        </w:rPr>
      </w:pPr>
      <w:r>
        <w:rPr>
          <w:rFonts w:hint="eastAsia" w:ascii="仿宋" w:hAnsi="仿宋" w:eastAsia="仿宋" w:cs="仿宋"/>
          <w:color w:val="000000"/>
          <w:kern w:val="2"/>
          <w:sz w:val="28"/>
          <w:szCs w:val="28"/>
        </w:rPr>
        <w:t>4.成绩考核：由技能考核成绩、操行考核成绩、实习报告成绩三部分组成。</w:t>
      </w:r>
    </w:p>
    <w:p>
      <w:pPr>
        <w:pStyle w:val="16"/>
        <w:spacing w:line="560" w:lineRule="exact"/>
        <w:ind w:firstLine="560"/>
        <w:rPr>
          <w:rFonts w:ascii="仿宋" w:hAnsi="仿宋" w:eastAsia="仿宋" w:cs="仿宋"/>
          <w:color w:val="000000"/>
          <w:kern w:val="2"/>
          <w:sz w:val="28"/>
          <w:szCs w:val="28"/>
        </w:rPr>
      </w:pPr>
      <w:r>
        <w:rPr>
          <w:rFonts w:hint="eastAsia" w:ascii="仿宋" w:hAnsi="仿宋" w:eastAsia="仿宋" w:cs="仿宋"/>
          <w:color w:val="000000"/>
          <w:kern w:val="2"/>
          <w:sz w:val="28"/>
          <w:szCs w:val="28"/>
        </w:rPr>
        <w:t>技能考核：占考核成绩40%，由企业根据学生在企业的工作态度和所掌握的专业技能进行综合评定。</w:t>
      </w:r>
    </w:p>
    <w:p>
      <w:pPr>
        <w:pStyle w:val="16"/>
        <w:spacing w:line="560" w:lineRule="exact"/>
        <w:ind w:firstLine="560"/>
        <w:rPr>
          <w:rFonts w:ascii="仿宋" w:hAnsi="仿宋" w:eastAsia="仿宋" w:cs="仿宋"/>
          <w:color w:val="000000"/>
          <w:kern w:val="2"/>
          <w:sz w:val="28"/>
          <w:szCs w:val="28"/>
        </w:rPr>
      </w:pPr>
      <w:r>
        <w:rPr>
          <w:rFonts w:hint="eastAsia" w:ascii="仿宋" w:hAnsi="仿宋" w:eastAsia="仿宋" w:cs="仿宋"/>
          <w:color w:val="000000"/>
          <w:kern w:val="2"/>
          <w:sz w:val="28"/>
          <w:szCs w:val="28"/>
        </w:rPr>
        <w:t>操行考核：占考核成绩40%，由企业和带队教师根据学生在实习中的认识态度、实际表现、遵守规章制度和劳动纪律等综合情况评定。</w:t>
      </w:r>
    </w:p>
    <w:p>
      <w:pPr>
        <w:pStyle w:val="16"/>
        <w:spacing w:line="560" w:lineRule="exact"/>
        <w:ind w:firstLine="560"/>
        <w:rPr>
          <w:rFonts w:ascii="仿宋" w:hAnsi="仿宋" w:eastAsia="仿宋" w:cs="仿宋"/>
          <w:color w:val="000000"/>
          <w:kern w:val="2"/>
          <w:sz w:val="28"/>
          <w:szCs w:val="28"/>
        </w:rPr>
      </w:pPr>
      <w:r>
        <w:rPr>
          <w:rFonts w:hint="eastAsia" w:ascii="仿宋" w:hAnsi="仿宋" w:eastAsia="仿宋" w:cs="仿宋"/>
          <w:color w:val="000000"/>
          <w:kern w:val="2"/>
          <w:sz w:val="28"/>
          <w:szCs w:val="28"/>
        </w:rPr>
        <w:t>实习报告：占考核成绩20%，由带队教师或班主任根据学生撰写实习报告的情况予以评定。实习报告中包括实习计划、执行情况和实习体会，要求学生能结合专业知识，找出本岗位工作中存在的问题和不足，分析原因并提出解决问题的措施和建议。</w:t>
      </w:r>
    </w:p>
    <w:p>
      <w:pPr>
        <w:pStyle w:val="16"/>
        <w:spacing w:line="560" w:lineRule="exact"/>
        <w:ind w:firstLine="560"/>
        <w:rPr>
          <w:rFonts w:ascii="仿宋" w:hAnsi="仿宋" w:eastAsia="仿宋" w:cs="仿宋"/>
          <w:color w:val="000000"/>
          <w:kern w:val="2"/>
          <w:sz w:val="28"/>
          <w:szCs w:val="28"/>
        </w:rPr>
      </w:pPr>
      <w:r>
        <w:rPr>
          <w:rFonts w:hint="eastAsia" w:ascii="仿宋" w:hAnsi="仿宋" w:eastAsia="仿宋" w:cs="仿宋"/>
          <w:color w:val="000000"/>
          <w:kern w:val="2"/>
          <w:sz w:val="28"/>
          <w:szCs w:val="28"/>
        </w:rPr>
        <w:t>凡无故不参加实习者实习成绩按零分计，实习成绩不及格者不能毕业。</w:t>
      </w:r>
    </w:p>
    <w:p>
      <w:pPr>
        <w:pStyle w:val="16"/>
        <w:spacing w:line="560" w:lineRule="exact"/>
        <w:ind w:firstLine="560"/>
        <w:rPr>
          <w:rFonts w:ascii="仿宋" w:hAnsi="仿宋" w:eastAsia="仿宋" w:cs="仿宋"/>
          <w:color w:val="000000"/>
          <w:kern w:val="2"/>
          <w:sz w:val="28"/>
          <w:szCs w:val="28"/>
        </w:rPr>
      </w:pPr>
      <w:r>
        <w:rPr>
          <w:rFonts w:hint="eastAsia" w:ascii="仿宋" w:hAnsi="仿宋" w:eastAsia="仿宋" w:cs="仿宋"/>
          <w:color w:val="000000"/>
          <w:kern w:val="2"/>
          <w:sz w:val="28"/>
          <w:szCs w:val="28"/>
        </w:rPr>
        <w:t>5.组织管理</w:t>
      </w:r>
    </w:p>
    <w:p>
      <w:pPr>
        <w:pStyle w:val="16"/>
        <w:spacing w:line="560" w:lineRule="exact"/>
        <w:ind w:firstLine="560"/>
        <w:rPr>
          <w:rFonts w:ascii="仿宋" w:hAnsi="仿宋" w:eastAsia="仿宋" w:cs="仿宋"/>
          <w:color w:val="000000"/>
          <w:kern w:val="2"/>
          <w:sz w:val="28"/>
          <w:szCs w:val="28"/>
        </w:rPr>
      </w:pPr>
      <w:r>
        <w:rPr>
          <w:rFonts w:hint="eastAsia" w:ascii="仿宋" w:hAnsi="仿宋" w:eastAsia="仿宋" w:cs="仿宋"/>
          <w:color w:val="000000"/>
          <w:kern w:val="2"/>
          <w:sz w:val="28"/>
          <w:szCs w:val="28"/>
        </w:rPr>
        <w:t>①制定实习计划并签订顶岗实习协议。学校应与实习单位共同制定实习计划，对实习的岗位和要求以及每个岗位实习的时间等提出明确的指导性意见，并签订书面协议。</w:t>
      </w:r>
    </w:p>
    <w:p>
      <w:pPr>
        <w:pStyle w:val="16"/>
        <w:spacing w:line="560" w:lineRule="exact"/>
        <w:ind w:firstLine="560"/>
        <w:rPr>
          <w:rFonts w:ascii="仿宋" w:hAnsi="仿宋" w:eastAsia="仿宋" w:cs="仿宋"/>
          <w:color w:val="000000"/>
          <w:kern w:val="2"/>
          <w:sz w:val="28"/>
          <w:szCs w:val="28"/>
        </w:rPr>
      </w:pPr>
      <w:r>
        <w:rPr>
          <w:rFonts w:hint="eastAsia" w:ascii="仿宋" w:hAnsi="仿宋" w:eastAsia="仿宋" w:cs="仿宋"/>
          <w:color w:val="000000"/>
          <w:kern w:val="2"/>
          <w:sz w:val="28"/>
          <w:szCs w:val="28"/>
        </w:rPr>
        <w:t>②落实实习前的各项组织工作。通过召开学生动员会做好细致的组织发动工作，提出具体的实习纪律和要求以及注意事项；由所在系对学生进行安全教育和安全考试（90分为及格）并代表学校与学生签订书面顶岗实习协议（一式两份）。在同一单位顶岗实习的学生数如超过20人，学校原则上要安排1名专职人员到实习单位实施全程管理和服务；学生数如超过100人，学校派出的专职管理人员不能少于1人。实习单位也要指定专人负责指导。</w:t>
      </w:r>
    </w:p>
    <w:p>
      <w:pPr>
        <w:pStyle w:val="16"/>
        <w:spacing w:line="560" w:lineRule="exact"/>
        <w:ind w:firstLine="560"/>
        <w:rPr>
          <w:rFonts w:ascii="仿宋" w:hAnsi="仿宋" w:eastAsia="仿宋" w:cs="仿宋"/>
          <w:color w:val="000000"/>
          <w:kern w:val="2"/>
          <w:sz w:val="28"/>
          <w:szCs w:val="28"/>
        </w:rPr>
      </w:pPr>
      <w:r>
        <w:rPr>
          <w:rFonts w:hint="eastAsia" w:ascii="仿宋" w:hAnsi="仿宋" w:eastAsia="仿宋" w:cs="仿宋"/>
          <w:color w:val="000000"/>
          <w:kern w:val="2"/>
          <w:sz w:val="28"/>
          <w:szCs w:val="28"/>
        </w:rPr>
        <w:t>③加强实习管理。学校要设立由学校领导、招生就业科、专业系和企业相关人员组成的实习管理机构，明确职责。实习过程中，通过书信、电话、网络以及不定期安排老师到各个实习点巡回检查，了解学生的实习情况，解决学生实习中遇到的问题。学校实习驻点教师主要职责：管理实习生、及时与企业沟通、定期书面向所在系、招生就业科和教务科汇报等。学生要定期写出实习情况书面汇报并交实习驻点教师或班主任。</w:t>
      </w:r>
    </w:p>
    <w:p>
      <w:pPr>
        <w:pStyle w:val="16"/>
        <w:spacing w:line="560" w:lineRule="exact"/>
        <w:ind w:firstLine="560"/>
        <w:rPr>
          <w:rFonts w:ascii="仿宋" w:hAnsi="仿宋" w:eastAsia="仿宋" w:cs="仿宋"/>
          <w:color w:val="000000"/>
          <w:kern w:val="2"/>
          <w:sz w:val="28"/>
          <w:szCs w:val="28"/>
        </w:rPr>
      </w:pPr>
      <w:r>
        <w:rPr>
          <w:rFonts w:hint="eastAsia" w:ascii="仿宋" w:hAnsi="仿宋" w:eastAsia="仿宋" w:cs="仿宋"/>
          <w:color w:val="000000"/>
          <w:kern w:val="2"/>
          <w:sz w:val="28"/>
          <w:szCs w:val="28"/>
        </w:rPr>
        <w:t>④建立完善的学生实习考核评定机制，建立学生实习档案并纳入学生学籍档案管理，将实习考核成绩作为学生毕业的必备条件。</w:t>
      </w:r>
    </w:p>
    <w:p>
      <w:pPr>
        <w:pStyle w:val="16"/>
        <w:spacing w:line="560" w:lineRule="exact"/>
        <w:ind w:firstLine="560"/>
        <w:rPr>
          <w:rFonts w:ascii="仿宋" w:hAnsi="仿宋" w:eastAsia="仿宋" w:cs="仿宋"/>
          <w:b/>
          <w:sz w:val="28"/>
          <w:szCs w:val="28"/>
        </w:rPr>
      </w:pPr>
      <w:r>
        <w:rPr>
          <w:rFonts w:hint="eastAsia" w:ascii="仿宋" w:hAnsi="仿宋" w:eastAsia="仿宋" w:cs="仿宋"/>
          <w:color w:val="000000"/>
          <w:kern w:val="2"/>
          <w:sz w:val="28"/>
          <w:szCs w:val="28"/>
        </w:rPr>
        <w:t>6.安全保障：加强对学生的劳动纪律、安全（人身安全、交通安全、食品卫生安全、生产安全等）、生产操作规程、自救自护和心理健康等方面的教育，提高学生的自我保护能力。学生必须具有安全保障，学校一律不得组织未办理劳动保险的学生参加顶岗生产实习。</w:t>
      </w:r>
    </w:p>
    <w:p>
      <w:pPr>
        <w:adjustRightInd w:val="0"/>
        <w:snapToGrid w:val="0"/>
        <w:spacing w:line="600" w:lineRule="exact"/>
        <w:ind w:firstLine="640" w:firstLineChars="200"/>
        <w:outlineLvl w:val="0"/>
        <w:rPr>
          <w:rFonts w:ascii="黑体" w:hAnsi="黑体" w:eastAsia="黑体"/>
          <w:color w:val="000000"/>
          <w:sz w:val="32"/>
        </w:rPr>
      </w:pPr>
      <w:r>
        <w:rPr>
          <w:rFonts w:hint="eastAsia" w:ascii="黑体" w:hAnsi="黑体" w:eastAsia="黑体"/>
          <w:sz w:val="32"/>
        </w:rPr>
        <w:t>七、</w:t>
      </w:r>
      <w:r>
        <w:rPr>
          <w:rFonts w:ascii="黑体" w:hAnsi="黑体" w:eastAsia="黑体"/>
          <w:color w:val="000000"/>
          <w:sz w:val="32"/>
        </w:rPr>
        <w:t>教学</w:t>
      </w:r>
      <w:r>
        <w:rPr>
          <w:rFonts w:hint="eastAsia" w:ascii="黑体" w:hAnsi="黑体" w:eastAsia="黑体"/>
          <w:color w:val="000000"/>
          <w:sz w:val="32"/>
        </w:rPr>
        <w:t>进程总体</w:t>
      </w:r>
      <w:r>
        <w:rPr>
          <w:rFonts w:ascii="黑体" w:hAnsi="黑体" w:eastAsia="黑体"/>
          <w:color w:val="000000"/>
          <w:sz w:val="32"/>
        </w:rPr>
        <w:t>安排</w:t>
      </w:r>
    </w:p>
    <w:p>
      <w:pPr>
        <w:spacing w:line="360" w:lineRule="auto"/>
        <w:ind w:firstLine="548" w:firstLineChars="196"/>
        <w:jc w:val="center"/>
        <w:rPr>
          <w:rFonts w:ascii="仿宋_GB2312" w:hAnsi="黑体"/>
          <w:sz w:val="28"/>
          <w:szCs w:val="28"/>
        </w:rPr>
      </w:pPr>
      <w:r>
        <w:rPr>
          <w:rFonts w:hint="eastAsia" w:ascii="仿宋_GB2312" w:hAnsi="黑体"/>
          <w:sz w:val="28"/>
          <w:szCs w:val="28"/>
        </w:rPr>
        <w:t>工业分析与检验专业指导性教学计划表</w:t>
      </w:r>
    </w:p>
    <w:tbl>
      <w:tblPr>
        <w:tblStyle w:val="7"/>
        <w:tblpPr w:leftFromText="180" w:rightFromText="180" w:vertAnchor="text" w:horzAnchor="page" w:tblpXSpec="center" w:tblpY="78"/>
        <w:tblOverlap w:val="never"/>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726"/>
        <w:gridCol w:w="688"/>
        <w:gridCol w:w="818"/>
        <w:gridCol w:w="688"/>
        <w:gridCol w:w="729"/>
        <w:gridCol w:w="738"/>
        <w:gridCol w:w="838"/>
        <w:gridCol w:w="701"/>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Merge w:val="restart"/>
            <w:vAlign w:val="center"/>
          </w:tcPr>
          <w:p>
            <w:pPr>
              <w:spacing w:line="220" w:lineRule="exact"/>
              <w:jc w:val="center"/>
              <w:rPr>
                <w:sz w:val="18"/>
                <w:szCs w:val="18"/>
              </w:rPr>
            </w:pPr>
            <w:r>
              <w:rPr>
                <w:rFonts w:hint="eastAsia"/>
                <w:sz w:val="18"/>
                <w:szCs w:val="18"/>
              </w:rPr>
              <w:t>序号</w:t>
            </w:r>
          </w:p>
        </w:tc>
        <w:tc>
          <w:tcPr>
            <w:tcW w:w="2726" w:type="dxa"/>
            <w:vMerge w:val="restart"/>
            <w:vAlign w:val="center"/>
          </w:tcPr>
          <w:p>
            <w:pPr>
              <w:spacing w:line="220" w:lineRule="exact"/>
              <w:jc w:val="center"/>
              <w:rPr>
                <w:sz w:val="18"/>
                <w:szCs w:val="18"/>
              </w:rPr>
            </w:pPr>
            <w:r>
              <w:rPr>
                <w:rFonts w:hint="eastAsia"/>
                <w:sz w:val="18"/>
                <w:szCs w:val="18"/>
              </w:rPr>
              <w:t>课程</w:t>
            </w:r>
          </w:p>
        </w:tc>
        <w:tc>
          <w:tcPr>
            <w:tcW w:w="688" w:type="dxa"/>
            <w:vMerge w:val="restart"/>
            <w:vAlign w:val="center"/>
          </w:tcPr>
          <w:p>
            <w:pPr>
              <w:spacing w:line="220" w:lineRule="exact"/>
              <w:jc w:val="center"/>
              <w:rPr>
                <w:sz w:val="18"/>
                <w:szCs w:val="18"/>
              </w:rPr>
            </w:pPr>
            <w:r>
              <w:rPr>
                <w:rFonts w:hint="eastAsia"/>
                <w:sz w:val="18"/>
                <w:szCs w:val="18"/>
              </w:rPr>
              <w:t>基准学时</w:t>
            </w:r>
          </w:p>
        </w:tc>
        <w:tc>
          <w:tcPr>
            <w:tcW w:w="4512" w:type="dxa"/>
            <w:gridSpan w:val="6"/>
            <w:vAlign w:val="center"/>
          </w:tcPr>
          <w:p>
            <w:pPr>
              <w:spacing w:line="220" w:lineRule="exact"/>
              <w:jc w:val="center"/>
              <w:rPr>
                <w:sz w:val="18"/>
                <w:szCs w:val="18"/>
              </w:rPr>
            </w:pPr>
            <w:r>
              <w:rPr>
                <w:rFonts w:hint="eastAsia"/>
                <w:sz w:val="18"/>
                <w:szCs w:val="18"/>
              </w:rPr>
              <w:t>学时分配</w:t>
            </w:r>
          </w:p>
        </w:tc>
        <w:tc>
          <w:tcPr>
            <w:tcW w:w="700" w:type="dxa"/>
            <w:vMerge w:val="restart"/>
            <w:vAlign w:val="center"/>
          </w:tcPr>
          <w:p>
            <w:pPr>
              <w:spacing w:line="220" w:lineRule="exact"/>
              <w:jc w:val="center"/>
              <w:rPr>
                <w:b/>
                <w:sz w:val="18"/>
                <w:szCs w:val="18"/>
              </w:rPr>
            </w:pPr>
            <w:r>
              <w:rPr>
                <w:rFonts w:hint="eastAsia"/>
                <w:b/>
                <w:sz w:val="18"/>
                <w:szCs w:val="18"/>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495" w:type="dxa"/>
            <w:vMerge w:val="continue"/>
            <w:vAlign w:val="center"/>
          </w:tcPr>
          <w:p>
            <w:pPr>
              <w:spacing w:line="220" w:lineRule="exact"/>
              <w:jc w:val="center"/>
              <w:rPr>
                <w:sz w:val="18"/>
                <w:szCs w:val="18"/>
              </w:rPr>
            </w:pPr>
          </w:p>
        </w:tc>
        <w:tc>
          <w:tcPr>
            <w:tcW w:w="2726" w:type="dxa"/>
            <w:vMerge w:val="continue"/>
            <w:vAlign w:val="center"/>
          </w:tcPr>
          <w:p>
            <w:pPr>
              <w:spacing w:line="220" w:lineRule="exact"/>
              <w:jc w:val="center"/>
              <w:rPr>
                <w:sz w:val="18"/>
                <w:szCs w:val="18"/>
              </w:rPr>
            </w:pPr>
          </w:p>
        </w:tc>
        <w:tc>
          <w:tcPr>
            <w:tcW w:w="688" w:type="dxa"/>
            <w:vMerge w:val="continue"/>
            <w:vAlign w:val="center"/>
          </w:tcPr>
          <w:p>
            <w:pPr>
              <w:spacing w:line="220" w:lineRule="exact"/>
              <w:jc w:val="center"/>
              <w:rPr>
                <w:sz w:val="18"/>
                <w:szCs w:val="18"/>
              </w:rPr>
            </w:pPr>
          </w:p>
        </w:tc>
        <w:tc>
          <w:tcPr>
            <w:tcW w:w="818" w:type="dxa"/>
            <w:vAlign w:val="center"/>
          </w:tcPr>
          <w:p>
            <w:pPr>
              <w:spacing w:line="220" w:lineRule="exact"/>
              <w:jc w:val="center"/>
              <w:rPr>
                <w:sz w:val="18"/>
                <w:szCs w:val="18"/>
              </w:rPr>
            </w:pPr>
            <w:r>
              <w:rPr>
                <w:rFonts w:hint="eastAsia"/>
                <w:sz w:val="18"/>
                <w:szCs w:val="18"/>
              </w:rPr>
              <w:t>第</w:t>
            </w:r>
            <w:r>
              <w:rPr>
                <w:sz w:val="18"/>
                <w:szCs w:val="18"/>
              </w:rPr>
              <w:t>1</w:t>
            </w:r>
          </w:p>
          <w:p>
            <w:pPr>
              <w:spacing w:line="220" w:lineRule="exact"/>
              <w:jc w:val="center"/>
              <w:rPr>
                <w:sz w:val="18"/>
                <w:szCs w:val="18"/>
              </w:rPr>
            </w:pPr>
            <w:r>
              <w:rPr>
                <w:rFonts w:hint="eastAsia"/>
                <w:sz w:val="18"/>
                <w:szCs w:val="18"/>
              </w:rPr>
              <w:t>学期</w:t>
            </w:r>
          </w:p>
        </w:tc>
        <w:tc>
          <w:tcPr>
            <w:tcW w:w="688" w:type="dxa"/>
            <w:vAlign w:val="center"/>
          </w:tcPr>
          <w:p>
            <w:pPr>
              <w:spacing w:line="220" w:lineRule="exact"/>
              <w:jc w:val="center"/>
              <w:rPr>
                <w:sz w:val="18"/>
                <w:szCs w:val="18"/>
              </w:rPr>
            </w:pPr>
            <w:r>
              <w:rPr>
                <w:rFonts w:hint="eastAsia"/>
                <w:sz w:val="18"/>
                <w:szCs w:val="18"/>
              </w:rPr>
              <w:t>第</w:t>
            </w:r>
            <w:r>
              <w:rPr>
                <w:sz w:val="18"/>
                <w:szCs w:val="18"/>
              </w:rPr>
              <w:t>2</w:t>
            </w:r>
            <w:r>
              <w:rPr>
                <w:rFonts w:hint="eastAsia"/>
                <w:sz w:val="18"/>
                <w:szCs w:val="18"/>
              </w:rPr>
              <w:t>学期</w:t>
            </w:r>
          </w:p>
        </w:tc>
        <w:tc>
          <w:tcPr>
            <w:tcW w:w="729" w:type="dxa"/>
            <w:vAlign w:val="center"/>
          </w:tcPr>
          <w:p>
            <w:pPr>
              <w:spacing w:line="220" w:lineRule="exact"/>
              <w:jc w:val="center"/>
              <w:rPr>
                <w:sz w:val="18"/>
                <w:szCs w:val="18"/>
              </w:rPr>
            </w:pPr>
            <w:r>
              <w:rPr>
                <w:rFonts w:hint="eastAsia"/>
                <w:sz w:val="18"/>
                <w:szCs w:val="18"/>
              </w:rPr>
              <w:t>第</w:t>
            </w:r>
            <w:r>
              <w:rPr>
                <w:sz w:val="18"/>
                <w:szCs w:val="18"/>
              </w:rPr>
              <w:t>3</w:t>
            </w:r>
          </w:p>
          <w:p>
            <w:pPr>
              <w:spacing w:line="220" w:lineRule="exact"/>
              <w:jc w:val="center"/>
              <w:rPr>
                <w:sz w:val="18"/>
                <w:szCs w:val="18"/>
              </w:rPr>
            </w:pPr>
            <w:r>
              <w:rPr>
                <w:rFonts w:hint="eastAsia"/>
                <w:sz w:val="18"/>
                <w:szCs w:val="18"/>
              </w:rPr>
              <w:t>学期</w:t>
            </w:r>
          </w:p>
        </w:tc>
        <w:tc>
          <w:tcPr>
            <w:tcW w:w="738" w:type="dxa"/>
            <w:vAlign w:val="center"/>
          </w:tcPr>
          <w:p>
            <w:pPr>
              <w:spacing w:line="220" w:lineRule="exact"/>
              <w:jc w:val="center"/>
              <w:rPr>
                <w:sz w:val="18"/>
                <w:szCs w:val="18"/>
              </w:rPr>
            </w:pPr>
            <w:r>
              <w:rPr>
                <w:rFonts w:hint="eastAsia"/>
                <w:sz w:val="18"/>
                <w:szCs w:val="18"/>
              </w:rPr>
              <w:t>第</w:t>
            </w:r>
            <w:r>
              <w:rPr>
                <w:sz w:val="18"/>
                <w:szCs w:val="18"/>
              </w:rPr>
              <w:t>4</w:t>
            </w:r>
          </w:p>
          <w:p>
            <w:pPr>
              <w:spacing w:line="220" w:lineRule="exact"/>
              <w:jc w:val="center"/>
              <w:rPr>
                <w:sz w:val="18"/>
                <w:szCs w:val="18"/>
              </w:rPr>
            </w:pPr>
            <w:r>
              <w:rPr>
                <w:rFonts w:hint="eastAsia"/>
                <w:sz w:val="18"/>
                <w:szCs w:val="18"/>
              </w:rPr>
              <w:t>学期</w:t>
            </w:r>
          </w:p>
        </w:tc>
        <w:tc>
          <w:tcPr>
            <w:tcW w:w="838" w:type="dxa"/>
            <w:vAlign w:val="center"/>
          </w:tcPr>
          <w:p>
            <w:pPr>
              <w:spacing w:line="220" w:lineRule="exact"/>
              <w:jc w:val="center"/>
              <w:rPr>
                <w:sz w:val="18"/>
                <w:szCs w:val="18"/>
              </w:rPr>
            </w:pPr>
            <w:r>
              <w:rPr>
                <w:rFonts w:hint="eastAsia"/>
                <w:sz w:val="18"/>
                <w:szCs w:val="18"/>
              </w:rPr>
              <w:t>第</w:t>
            </w:r>
            <w:r>
              <w:rPr>
                <w:sz w:val="18"/>
                <w:szCs w:val="18"/>
              </w:rPr>
              <w:t>5</w:t>
            </w:r>
          </w:p>
          <w:p>
            <w:pPr>
              <w:spacing w:line="220" w:lineRule="exact"/>
              <w:jc w:val="center"/>
              <w:rPr>
                <w:sz w:val="18"/>
                <w:szCs w:val="18"/>
              </w:rPr>
            </w:pPr>
            <w:r>
              <w:rPr>
                <w:rFonts w:hint="eastAsia"/>
                <w:sz w:val="18"/>
                <w:szCs w:val="18"/>
              </w:rPr>
              <w:t>学期</w:t>
            </w:r>
          </w:p>
        </w:tc>
        <w:tc>
          <w:tcPr>
            <w:tcW w:w="701" w:type="dxa"/>
            <w:vAlign w:val="center"/>
          </w:tcPr>
          <w:p>
            <w:pPr>
              <w:spacing w:line="220" w:lineRule="exact"/>
              <w:jc w:val="center"/>
              <w:rPr>
                <w:sz w:val="18"/>
                <w:szCs w:val="18"/>
              </w:rPr>
            </w:pPr>
            <w:r>
              <w:rPr>
                <w:rFonts w:hint="eastAsia"/>
                <w:sz w:val="18"/>
                <w:szCs w:val="18"/>
              </w:rPr>
              <w:t>第</w:t>
            </w:r>
            <w:r>
              <w:rPr>
                <w:sz w:val="18"/>
                <w:szCs w:val="18"/>
              </w:rPr>
              <w:t>6</w:t>
            </w:r>
            <w:r>
              <w:rPr>
                <w:rFonts w:hint="eastAsia"/>
                <w:sz w:val="18"/>
                <w:szCs w:val="18"/>
              </w:rPr>
              <w:t>学期</w:t>
            </w:r>
          </w:p>
        </w:tc>
        <w:tc>
          <w:tcPr>
            <w:tcW w:w="700" w:type="dxa"/>
            <w:vMerge w:val="continue"/>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hint="eastAsia" w:cs="宋体"/>
                <w:sz w:val="18"/>
                <w:szCs w:val="18"/>
              </w:rPr>
              <w:t>一</w:t>
            </w:r>
          </w:p>
        </w:tc>
        <w:tc>
          <w:tcPr>
            <w:tcW w:w="2726" w:type="dxa"/>
            <w:vAlign w:val="center"/>
          </w:tcPr>
          <w:p>
            <w:pPr>
              <w:spacing w:line="220" w:lineRule="exact"/>
              <w:jc w:val="center"/>
              <w:rPr>
                <w:rFonts w:cs="宋体"/>
                <w:b/>
                <w:sz w:val="18"/>
                <w:szCs w:val="18"/>
              </w:rPr>
            </w:pPr>
            <w:r>
              <w:rPr>
                <w:rFonts w:hint="eastAsia" w:cs="宋体"/>
                <w:b/>
                <w:sz w:val="18"/>
                <w:szCs w:val="18"/>
              </w:rPr>
              <w:t>公共基础课</w:t>
            </w:r>
          </w:p>
        </w:tc>
        <w:tc>
          <w:tcPr>
            <w:tcW w:w="688" w:type="dxa"/>
            <w:vAlign w:val="center"/>
          </w:tcPr>
          <w:p>
            <w:pPr>
              <w:spacing w:line="220" w:lineRule="exact"/>
              <w:jc w:val="center"/>
              <w:rPr>
                <w:sz w:val="18"/>
                <w:szCs w:val="18"/>
              </w:rPr>
            </w:pPr>
            <w:r>
              <w:rPr>
                <w:rFonts w:hint="eastAsia"/>
                <w:sz w:val="18"/>
                <w:szCs w:val="18"/>
              </w:rPr>
              <w:t>642</w:t>
            </w:r>
          </w:p>
        </w:tc>
        <w:tc>
          <w:tcPr>
            <w:tcW w:w="818" w:type="dxa"/>
            <w:vAlign w:val="center"/>
          </w:tcPr>
          <w:p>
            <w:pPr>
              <w:spacing w:line="220" w:lineRule="exact"/>
              <w:jc w:val="center"/>
              <w:rPr>
                <w:sz w:val="18"/>
                <w:szCs w:val="18"/>
              </w:rPr>
            </w:pPr>
          </w:p>
        </w:tc>
        <w:tc>
          <w:tcPr>
            <w:tcW w:w="688" w:type="dxa"/>
            <w:vAlign w:val="center"/>
          </w:tcPr>
          <w:p>
            <w:pPr>
              <w:spacing w:line="220" w:lineRule="exact"/>
              <w:jc w:val="center"/>
              <w:rPr>
                <w:sz w:val="18"/>
                <w:szCs w:val="18"/>
              </w:rPr>
            </w:pPr>
          </w:p>
        </w:tc>
        <w:tc>
          <w:tcPr>
            <w:tcW w:w="729" w:type="dxa"/>
            <w:vAlign w:val="center"/>
          </w:tcPr>
          <w:p>
            <w:pPr>
              <w:spacing w:line="220" w:lineRule="exact"/>
              <w:jc w:val="center"/>
              <w:rPr>
                <w:sz w:val="18"/>
                <w:szCs w:val="18"/>
              </w:rPr>
            </w:pPr>
          </w:p>
        </w:tc>
        <w:tc>
          <w:tcPr>
            <w:tcW w:w="738" w:type="dxa"/>
            <w:vAlign w:val="center"/>
          </w:tcPr>
          <w:p>
            <w:pPr>
              <w:spacing w:line="220" w:lineRule="exact"/>
              <w:jc w:val="center"/>
              <w:rPr>
                <w:rFonts w:cs="宋体"/>
                <w:sz w:val="18"/>
                <w:szCs w:val="18"/>
              </w:rPr>
            </w:pPr>
          </w:p>
        </w:tc>
        <w:tc>
          <w:tcPr>
            <w:tcW w:w="838" w:type="dxa"/>
            <w:vAlign w:val="center"/>
          </w:tcPr>
          <w:p>
            <w:pPr>
              <w:spacing w:line="220" w:lineRule="exact"/>
              <w:jc w:val="center"/>
              <w:rPr>
                <w:rFonts w:cs="宋体"/>
                <w:sz w:val="18"/>
                <w:szCs w:val="18"/>
              </w:rPr>
            </w:pP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cs="宋体"/>
                <w:sz w:val="18"/>
                <w:szCs w:val="18"/>
              </w:rPr>
              <w:t>1</w:t>
            </w:r>
          </w:p>
        </w:tc>
        <w:tc>
          <w:tcPr>
            <w:tcW w:w="2726" w:type="dxa"/>
            <w:vAlign w:val="center"/>
          </w:tcPr>
          <w:p>
            <w:pPr>
              <w:spacing w:line="220" w:lineRule="exact"/>
              <w:jc w:val="left"/>
              <w:rPr>
                <w:rFonts w:cs="宋体"/>
                <w:sz w:val="18"/>
                <w:szCs w:val="18"/>
              </w:rPr>
            </w:pPr>
            <w:r>
              <w:rPr>
                <w:rFonts w:hint="eastAsia" w:cs="宋体"/>
                <w:sz w:val="18"/>
                <w:szCs w:val="18"/>
              </w:rPr>
              <w:t>思想政治（德育）</w:t>
            </w:r>
          </w:p>
        </w:tc>
        <w:tc>
          <w:tcPr>
            <w:tcW w:w="688" w:type="dxa"/>
            <w:vAlign w:val="center"/>
          </w:tcPr>
          <w:p>
            <w:pPr>
              <w:spacing w:line="220" w:lineRule="exact"/>
              <w:jc w:val="center"/>
              <w:rPr>
                <w:sz w:val="18"/>
                <w:szCs w:val="18"/>
              </w:rPr>
            </w:pPr>
            <w:r>
              <w:rPr>
                <w:rFonts w:hint="eastAsia"/>
                <w:sz w:val="18"/>
                <w:szCs w:val="18"/>
              </w:rPr>
              <w:t>124</w:t>
            </w:r>
          </w:p>
        </w:tc>
        <w:tc>
          <w:tcPr>
            <w:tcW w:w="818" w:type="dxa"/>
            <w:vAlign w:val="center"/>
          </w:tcPr>
          <w:p>
            <w:pPr>
              <w:spacing w:line="220" w:lineRule="exact"/>
              <w:jc w:val="center"/>
              <w:rPr>
                <w:sz w:val="18"/>
                <w:szCs w:val="18"/>
              </w:rPr>
            </w:pPr>
            <w:r>
              <w:rPr>
                <w:rFonts w:hint="eastAsia"/>
                <w:sz w:val="18"/>
                <w:szCs w:val="18"/>
              </w:rPr>
              <w:t>16</w:t>
            </w:r>
          </w:p>
        </w:tc>
        <w:tc>
          <w:tcPr>
            <w:tcW w:w="688" w:type="dxa"/>
            <w:vAlign w:val="center"/>
          </w:tcPr>
          <w:p>
            <w:pPr>
              <w:spacing w:line="220" w:lineRule="exact"/>
              <w:jc w:val="center"/>
              <w:rPr>
                <w:sz w:val="18"/>
                <w:szCs w:val="18"/>
              </w:rPr>
            </w:pPr>
            <w:r>
              <w:rPr>
                <w:rFonts w:hint="eastAsia"/>
                <w:sz w:val="18"/>
                <w:szCs w:val="18"/>
              </w:rPr>
              <w:t>36</w:t>
            </w:r>
          </w:p>
        </w:tc>
        <w:tc>
          <w:tcPr>
            <w:tcW w:w="729" w:type="dxa"/>
            <w:vAlign w:val="center"/>
          </w:tcPr>
          <w:p>
            <w:pPr>
              <w:spacing w:line="220" w:lineRule="exact"/>
              <w:jc w:val="center"/>
              <w:rPr>
                <w:sz w:val="18"/>
                <w:szCs w:val="18"/>
              </w:rPr>
            </w:pPr>
            <w:r>
              <w:rPr>
                <w:rFonts w:hint="eastAsia"/>
                <w:sz w:val="18"/>
                <w:szCs w:val="18"/>
              </w:rPr>
              <w:t>36</w:t>
            </w:r>
          </w:p>
        </w:tc>
        <w:tc>
          <w:tcPr>
            <w:tcW w:w="738" w:type="dxa"/>
            <w:vAlign w:val="center"/>
          </w:tcPr>
          <w:p>
            <w:pPr>
              <w:spacing w:line="220" w:lineRule="exact"/>
              <w:jc w:val="center"/>
              <w:rPr>
                <w:rFonts w:cs="宋体"/>
                <w:sz w:val="18"/>
                <w:szCs w:val="18"/>
              </w:rPr>
            </w:pPr>
            <w:r>
              <w:rPr>
                <w:rFonts w:hint="eastAsia" w:cs="宋体"/>
                <w:sz w:val="18"/>
                <w:szCs w:val="18"/>
              </w:rPr>
              <w:t>36</w:t>
            </w:r>
          </w:p>
        </w:tc>
        <w:tc>
          <w:tcPr>
            <w:tcW w:w="838" w:type="dxa"/>
            <w:vAlign w:val="center"/>
          </w:tcPr>
          <w:p>
            <w:pPr>
              <w:spacing w:line="220" w:lineRule="exact"/>
              <w:jc w:val="center"/>
              <w:rPr>
                <w:rFonts w:cs="宋体"/>
                <w:sz w:val="18"/>
                <w:szCs w:val="18"/>
              </w:rPr>
            </w:pP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hint="eastAsia" w:cs="宋体"/>
                <w:sz w:val="18"/>
                <w:szCs w:val="18"/>
              </w:rPr>
              <w:t>2</w:t>
            </w:r>
          </w:p>
        </w:tc>
        <w:tc>
          <w:tcPr>
            <w:tcW w:w="2726" w:type="dxa"/>
            <w:vAlign w:val="center"/>
          </w:tcPr>
          <w:p>
            <w:pPr>
              <w:spacing w:line="220" w:lineRule="exact"/>
              <w:jc w:val="left"/>
              <w:rPr>
                <w:rFonts w:cs="宋体"/>
                <w:sz w:val="18"/>
                <w:szCs w:val="18"/>
              </w:rPr>
            </w:pPr>
            <w:r>
              <w:rPr>
                <w:rFonts w:hint="eastAsia" w:cs="宋体"/>
                <w:sz w:val="18"/>
                <w:szCs w:val="18"/>
              </w:rPr>
              <w:t>心理健康教育</w:t>
            </w:r>
          </w:p>
        </w:tc>
        <w:tc>
          <w:tcPr>
            <w:tcW w:w="688" w:type="dxa"/>
            <w:vAlign w:val="center"/>
          </w:tcPr>
          <w:p>
            <w:pPr>
              <w:spacing w:line="220" w:lineRule="exact"/>
              <w:jc w:val="center"/>
              <w:rPr>
                <w:sz w:val="18"/>
                <w:szCs w:val="18"/>
              </w:rPr>
            </w:pPr>
            <w:r>
              <w:rPr>
                <w:rFonts w:hint="eastAsia"/>
                <w:sz w:val="18"/>
                <w:szCs w:val="18"/>
              </w:rPr>
              <w:t>20</w:t>
            </w:r>
          </w:p>
        </w:tc>
        <w:tc>
          <w:tcPr>
            <w:tcW w:w="818" w:type="dxa"/>
            <w:vAlign w:val="center"/>
          </w:tcPr>
          <w:p>
            <w:pPr>
              <w:spacing w:line="220" w:lineRule="exact"/>
              <w:jc w:val="center"/>
              <w:rPr>
                <w:sz w:val="18"/>
                <w:szCs w:val="18"/>
              </w:rPr>
            </w:pPr>
            <w:r>
              <w:rPr>
                <w:rFonts w:hint="eastAsia"/>
                <w:sz w:val="18"/>
                <w:szCs w:val="18"/>
              </w:rPr>
              <w:t>20</w:t>
            </w:r>
          </w:p>
        </w:tc>
        <w:tc>
          <w:tcPr>
            <w:tcW w:w="688" w:type="dxa"/>
            <w:vAlign w:val="center"/>
          </w:tcPr>
          <w:p>
            <w:pPr>
              <w:spacing w:line="220" w:lineRule="exact"/>
              <w:jc w:val="center"/>
              <w:rPr>
                <w:sz w:val="18"/>
                <w:szCs w:val="18"/>
              </w:rPr>
            </w:pPr>
          </w:p>
        </w:tc>
        <w:tc>
          <w:tcPr>
            <w:tcW w:w="729" w:type="dxa"/>
            <w:vAlign w:val="center"/>
          </w:tcPr>
          <w:p>
            <w:pPr>
              <w:spacing w:line="220" w:lineRule="exact"/>
              <w:jc w:val="center"/>
              <w:rPr>
                <w:sz w:val="18"/>
                <w:szCs w:val="18"/>
              </w:rPr>
            </w:pPr>
          </w:p>
        </w:tc>
        <w:tc>
          <w:tcPr>
            <w:tcW w:w="738" w:type="dxa"/>
            <w:vAlign w:val="center"/>
          </w:tcPr>
          <w:p>
            <w:pPr>
              <w:spacing w:line="220" w:lineRule="exact"/>
              <w:jc w:val="center"/>
              <w:rPr>
                <w:rFonts w:cs="宋体"/>
                <w:sz w:val="18"/>
                <w:szCs w:val="18"/>
              </w:rPr>
            </w:pPr>
          </w:p>
        </w:tc>
        <w:tc>
          <w:tcPr>
            <w:tcW w:w="838" w:type="dxa"/>
            <w:vAlign w:val="center"/>
          </w:tcPr>
          <w:p>
            <w:pPr>
              <w:spacing w:line="220" w:lineRule="exact"/>
              <w:jc w:val="center"/>
              <w:rPr>
                <w:rFonts w:cs="宋体"/>
                <w:sz w:val="18"/>
                <w:szCs w:val="18"/>
              </w:rPr>
            </w:pP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hint="eastAsia" w:cs="宋体"/>
                <w:sz w:val="18"/>
                <w:szCs w:val="18"/>
              </w:rPr>
              <w:t>3</w:t>
            </w:r>
          </w:p>
        </w:tc>
        <w:tc>
          <w:tcPr>
            <w:tcW w:w="2726" w:type="dxa"/>
            <w:vAlign w:val="center"/>
          </w:tcPr>
          <w:p>
            <w:pPr>
              <w:spacing w:line="220" w:lineRule="exact"/>
              <w:jc w:val="left"/>
              <w:rPr>
                <w:rFonts w:cs="宋体"/>
                <w:sz w:val="18"/>
                <w:szCs w:val="18"/>
              </w:rPr>
            </w:pPr>
            <w:r>
              <w:rPr>
                <w:rFonts w:hint="eastAsia" w:cs="宋体"/>
                <w:sz w:val="18"/>
                <w:szCs w:val="18"/>
              </w:rPr>
              <w:t>语文</w:t>
            </w:r>
          </w:p>
        </w:tc>
        <w:tc>
          <w:tcPr>
            <w:tcW w:w="688" w:type="dxa"/>
            <w:vAlign w:val="center"/>
          </w:tcPr>
          <w:p>
            <w:pPr>
              <w:spacing w:line="220" w:lineRule="exact"/>
              <w:jc w:val="center"/>
              <w:rPr>
                <w:sz w:val="18"/>
                <w:szCs w:val="18"/>
              </w:rPr>
            </w:pPr>
            <w:r>
              <w:rPr>
                <w:rFonts w:hint="eastAsia"/>
                <w:sz w:val="18"/>
                <w:szCs w:val="18"/>
              </w:rPr>
              <w:t>108</w:t>
            </w:r>
          </w:p>
        </w:tc>
        <w:tc>
          <w:tcPr>
            <w:tcW w:w="818" w:type="dxa"/>
            <w:vAlign w:val="center"/>
          </w:tcPr>
          <w:p>
            <w:pPr>
              <w:spacing w:line="220" w:lineRule="exact"/>
              <w:jc w:val="center"/>
              <w:rPr>
                <w:sz w:val="18"/>
                <w:szCs w:val="18"/>
              </w:rPr>
            </w:pPr>
            <w:r>
              <w:rPr>
                <w:rFonts w:hint="eastAsia"/>
                <w:sz w:val="18"/>
                <w:szCs w:val="18"/>
              </w:rPr>
              <w:t>36</w:t>
            </w:r>
          </w:p>
        </w:tc>
        <w:tc>
          <w:tcPr>
            <w:tcW w:w="688" w:type="dxa"/>
            <w:vAlign w:val="center"/>
          </w:tcPr>
          <w:p>
            <w:pPr>
              <w:spacing w:line="220" w:lineRule="exact"/>
              <w:jc w:val="center"/>
              <w:rPr>
                <w:sz w:val="18"/>
                <w:szCs w:val="18"/>
              </w:rPr>
            </w:pPr>
            <w:r>
              <w:rPr>
                <w:rFonts w:hint="eastAsia"/>
                <w:sz w:val="18"/>
                <w:szCs w:val="18"/>
              </w:rPr>
              <w:t>36</w:t>
            </w:r>
          </w:p>
        </w:tc>
        <w:tc>
          <w:tcPr>
            <w:tcW w:w="729" w:type="dxa"/>
            <w:vAlign w:val="center"/>
          </w:tcPr>
          <w:p>
            <w:pPr>
              <w:spacing w:line="220" w:lineRule="exact"/>
              <w:jc w:val="center"/>
              <w:rPr>
                <w:sz w:val="18"/>
                <w:szCs w:val="18"/>
              </w:rPr>
            </w:pPr>
            <w:r>
              <w:rPr>
                <w:rFonts w:hint="eastAsia"/>
                <w:sz w:val="18"/>
                <w:szCs w:val="18"/>
              </w:rPr>
              <w:t>36</w:t>
            </w:r>
          </w:p>
        </w:tc>
        <w:tc>
          <w:tcPr>
            <w:tcW w:w="738" w:type="dxa"/>
            <w:vAlign w:val="center"/>
          </w:tcPr>
          <w:p>
            <w:pPr>
              <w:spacing w:line="220" w:lineRule="exact"/>
              <w:jc w:val="center"/>
              <w:rPr>
                <w:rFonts w:cs="宋体"/>
                <w:sz w:val="18"/>
                <w:szCs w:val="18"/>
              </w:rPr>
            </w:pPr>
          </w:p>
        </w:tc>
        <w:tc>
          <w:tcPr>
            <w:tcW w:w="838" w:type="dxa"/>
            <w:vAlign w:val="center"/>
          </w:tcPr>
          <w:p>
            <w:pPr>
              <w:spacing w:line="220" w:lineRule="exact"/>
              <w:jc w:val="center"/>
              <w:rPr>
                <w:rFonts w:cs="宋体"/>
                <w:sz w:val="18"/>
                <w:szCs w:val="18"/>
              </w:rPr>
            </w:pP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cs="宋体"/>
                <w:sz w:val="18"/>
                <w:szCs w:val="18"/>
              </w:rPr>
              <w:t>4</w:t>
            </w:r>
          </w:p>
        </w:tc>
        <w:tc>
          <w:tcPr>
            <w:tcW w:w="2726" w:type="dxa"/>
            <w:vAlign w:val="center"/>
          </w:tcPr>
          <w:p>
            <w:pPr>
              <w:spacing w:line="220" w:lineRule="exact"/>
              <w:jc w:val="left"/>
              <w:rPr>
                <w:rFonts w:cs="宋体"/>
                <w:sz w:val="18"/>
                <w:szCs w:val="18"/>
              </w:rPr>
            </w:pPr>
            <w:r>
              <w:rPr>
                <w:rFonts w:hint="eastAsia" w:cs="宋体"/>
                <w:sz w:val="18"/>
                <w:szCs w:val="18"/>
              </w:rPr>
              <w:t>数学</w:t>
            </w:r>
          </w:p>
        </w:tc>
        <w:tc>
          <w:tcPr>
            <w:tcW w:w="688" w:type="dxa"/>
            <w:vAlign w:val="center"/>
          </w:tcPr>
          <w:p>
            <w:pPr>
              <w:spacing w:line="220" w:lineRule="exact"/>
              <w:jc w:val="center"/>
              <w:rPr>
                <w:sz w:val="18"/>
                <w:szCs w:val="18"/>
              </w:rPr>
            </w:pPr>
            <w:r>
              <w:rPr>
                <w:rFonts w:hint="eastAsia"/>
                <w:sz w:val="18"/>
                <w:szCs w:val="18"/>
              </w:rPr>
              <w:t>72</w:t>
            </w:r>
          </w:p>
        </w:tc>
        <w:tc>
          <w:tcPr>
            <w:tcW w:w="818" w:type="dxa"/>
            <w:vAlign w:val="center"/>
          </w:tcPr>
          <w:p>
            <w:pPr>
              <w:spacing w:line="220" w:lineRule="exact"/>
              <w:jc w:val="center"/>
              <w:rPr>
                <w:sz w:val="18"/>
                <w:szCs w:val="18"/>
              </w:rPr>
            </w:pPr>
            <w:r>
              <w:rPr>
                <w:rFonts w:hint="eastAsia"/>
                <w:sz w:val="18"/>
                <w:szCs w:val="18"/>
              </w:rPr>
              <w:t>72</w:t>
            </w:r>
          </w:p>
        </w:tc>
        <w:tc>
          <w:tcPr>
            <w:tcW w:w="688" w:type="dxa"/>
            <w:vAlign w:val="center"/>
          </w:tcPr>
          <w:p>
            <w:pPr>
              <w:spacing w:line="220" w:lineRule="exact"/>
              <w:jc w:val="center"/>
              <w:rPr>
                <w:sz w:val="18"/>
                <w:szCs w:val="18"/>
              </w:rPr>
            </w:pPr>
          </w:p>
        </w:tc>
        <w:tc>
          <w:tcPr>
            <w:tcW w:w="729" w:type="dxa"/>
            <w:vAlign w:val="center"/>
          </w:tcPr>
          <w:p>
            <w:pPr>
              <w:spacing w:line="220" w:lineRule="exact"/>
              <w:jc w:val="center"/>
              <w:rPr>
                <w:sz w:val="18"/>
                <w:szCs w:val="18"/>
              </w:rPr>
            </w:pPr>
          </w:p>
        </w:tc>
        <w:tc>
          <w:tcPr>
            <w:tcW w:w="738" w:type="dxa"/>
            <w:vAlign w:val="center"/>
          </w:tcPr>
          <w:p>
            <w:pPr>
              <w:spacing w:line="220" w:lineRule="exact"/>
              <w:jc w:val="center"/>
              <w:rPr>
                <w:rFonts w:cs="宋体"/>
                <w:sz w:val="18"/>
                <w:szCs w:val="18"/>
              </w:rPr>
            </w:pPr>
          </w:p>
        </w:tc>
        <w:tc>
          <w:tcPr>
            <w:tcW w:w="838" w:type="dxa"/>
            <w:vAlign w:val="center"/>
          </w:tcPr>
          <w:p>
            <w:pPr>
              <w:spacing w:line="220" w:lineRule="exact"/>
              <w:jc w:val="center"/>
              <w:rPr>
                <w:rFonts w:cs="宋体"/>
                <w:sz w:val="18"/>
                <w:szCs w:val="18"/>
              </w:rPr>
            </w:pP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cs="宋体"/>
                <w:sz w:val="18"/>
                <w:szCs w:val="18"/>
              </w:rPr>
              <w:t>5</w:t>
            </w:r>
          </w:p>
        </w:tc>
        <w:tc>
          <w:tcPr>
            <w:tcW w:w="2726" w:type="dxa"/>
            <w:vAlign w:val="center"/>
          </w:tcPr>
          <w:p>
            <w:pPr>
              <w:spacing w:line="220" w:lineRule="exact"/>
              <w:jc w:val="left"/>
              <w:rPr>
                <w:rFonts w:cs="宋体"/>
                <w:sz w:val="18"/>
                <w:szCs w:val="18"/>
              </w:rPr>
            </w:pPr>
            <w:r>
              <w:rPr>
                <w:rFonts w:hint="eastAsia" w:cs="宋体"/>
                <w:sz w:val="18"/>
                <w:szCs w:val="18"/>
              </w:rPr>
              <w:t>英语</w:t>
            </w:r>
          </w:p>
        </w:tc>
        <w:tc>
          <w:tcPr>
            <w:tcW w:w="688" w:type="dxa"/>
            <w:vAlign w:val="center"/>
          </w:tcPr>
          <w:p>
            <w:pPr>
              <w:spacing w:line="220" w:lineRule="exact"/>
              <w:jc w:val="center"/>
              <w:rPr>
                <w:sz w:val="18"/>
                <w:szCs w:val="18"/>
              </w:rPr>
            </w:pPr>
            <w:r>
              <w:rPr>
                <w:rFonts w:hint="eastAsia"/>
                <w:sz w:val="18"/>
                <w:szCs w:val="18"/>
              </w:rPr>
              <w:t>72</w:t>
            </w:r>
          </w:p>
        </w:tc>
        <w:tc>
          <w:tcPr>
            <w:tcW w:w="818" w:type="dxa"/>
            <w:vAlign w:val="center"/>
          </w:tcPr>
          <w:p>
            <w:pPr>
              <w:spacing w:line="220" w:lineRule="exact"/>
              <w:jc w:val="center"/>
              <w:rPr>
                <w:sz w:val="18"/>
                <w:szCs w:val="18"/>
              </w:rPr>
            </w:pPr>
            <w:r>
              <w:rPr>
                <w:rFonts w:hint="eastAsia"/>
                <w:sz w:val="18"/>
                <w:szCs w:val="18"/>
              </w:rPr>
              <w:t>72</w:t>
            </w:r>
          </w:p>
        </w:tc>
        <w:tc>
          <w:tcPr>
            <w:tcW w:w="688" w:type="dxa"/>
            <w:vAlign w:val="center"/>
          </w:tcPr>
          <w:p>
            <w:pPr>
              <w:spacing w:line="220" w:lineRule="exact"/>
              <w:jc w:val="center"/>
              <w:rPr>
                <w:sz w:val="18"/>
                <w:szCs w:val="18"/>
              </w:rPr>
            </w:pPr>
          </w:p>
        </w:tc>
        <w:tc>
          <w:tcPr>
            <w:tcW w:w="729" w:type="dxa"/>
            <w:vAlign w:val="center"/>
          </w:tcPr>
          <w:p>
            <w:pPr>
              <w:spacing w:line="220" w:lineRule="exact"/>
              <w:jc w:val="center"/>
              <w:rPr>
                <w:sz w:val="18"/>
                <w:szCs w:val="18"/>
              </w:rPr>
            </w:pPr>
          </w:p>
        </w:tc>
        <w:tc>
          <w:tcPr>
            <w:tcW w:w="738" w:type="dxa"/>
            <w:vAlign w:val="center"/>
          </w:tcPr>
          <w:p>
            <w:pPr>
              <w:spacing w:line="220" w:lineRule="exact"/>
              <w:jc w:val="center"/>
              <w:rPr>
                <w:rFonts w:cs="宋体"/>
                <w:sz w:val="18"/>
                <w:szCs w:val="18"/>
              </w:rPr>
            </w:pPr>
          </w:p>
        </w:tc>
        <w:tc>
          <w:tcPr>
            <w:tcW w:w="838" w:type="dxa"/>
            <w:vAlign w:val="center"/>
          </w:tcPr>
          <w:p>
            <w:pPr>
              <w:spacing w:line="220" w:lineRule="exact"/>
              <w:jc w:val="center"/>
              <w:rPr>
                <w:rFonts w:cs="宋体"/>
                <w:sz w:val="18"/>
                <w:szCs w:val="18"/>
              </w:rPr>
            </w:pP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cs="宋体"/>
                <w:sz w:val="18"/>
                <w:szCs w:val="18"/>
              </w:rPr>
              <w:t>6</w:t>
            </w:r>
          </w:p>
        </w:tc>
        <w:tc>
          <w:tcPr>
            <w:tcW w:w="2726" w:type="dxa"/>
            <w:vAlign w:val="center"/>
          </w:tcPr>
          <w:p>
            <w:pPr>
              <w:spacing w:line="220" w:lineRule="exact"/>
              <w:jc w:val="left"/>
              <w:rPr>
                <w:rFonts w:cs="宋体"/>
                <w:color w:val="FF0000"/>
                <w:sz w:val="18"/>
                <w:szCs w:val="18"/>
              </w:rPr>
            </w:pPr>
            <w:r>
              <w:rPr>
                <w:rFonts w:hint="eastAsia"/>
                <w:sz w:val="18"/>
                <w:szCs w:val="18"/>
              </w:rPr>
              <w:t>计算机基础与应用（信息技术）</w:t>
            </w:r>
          </w:p>
        </w:tc>
        <w:tc>
          <w:tcPr>
            <w:tcW w:w="688" w:type="dxa"/>
            <w:vAlign w:val="center"/>
          </w:tcPr>
          <w:p>
            <w:pPr>
              <w:spacing w:line="220" w:lineRule="exact"/>
              <w:jc w:val="center"/>
              <w:rPr>
                <w:sz w:val="18"/>
                <w:szCs w:val="18"/>
              </w:rPr>
            </w:pPr>
            <w:r>
              <w:rPr>
                <w:rFonts w:hint="eastAsia"/>
                <w:sz w:val="18"/>
                <w:szCs w:val="18"/>
              </w:rPr>
              <w:t>72</w:t>
            </w:r>
          </w:p>
        </w:tc>
        <w:tc>
          <w:tcPr>
            <w:tcW w:w="818" w:type="dxa"/>
            <w:vAlign w:val="center"/>
          </w:tcPr>
          <w:p>
            <w:pPr>
              <w:spacing w:line="220" w:lineRule="exact"/>
              <w:jc w:val="center"/>
              <w:rPr>
                <w:sz w:val="18"/>
                <w:szCs w:val="18"/>
              </w:rPr>
            </w:pPr>
          </w:p>
        </w:tc>
        <w:tc>
          <w:tcPr>
            <w:tcW w:w="688" w:type="dxa"/>
            <w:vAlign w:val="center"/>
          </w:tcPr>
          <w:p>
            <w:pPr>
              <w:spacing w:line="220" w:lineRule="exact"/>
              <w:jc w:val="center"/>
              <w:rPr>
                <w:sz w:val="18"/>
                <w:szCs w:val="18"/>
              </w:rPr>
            </w:pPr>
            <w:r>
              <w:rPr>
                <w:rFonts w:hint="eastAsia"/>
                <w:sz w:val="18"/>
                <w:szCs w:val="18"/>
              </w:rPr>
              <w:t>36</w:t>
            </w:r>
          </w:p>
        </w:tc>
        <w:tc>
          <w:tcPr>
            <w:tcW w:w="729" w:type="dxa"/>
            <w:vAlign w:val="center"/>
          </w:tcPr>
          <w:p>
            <w:pPr>
              <w:spacing w:line="220" w:lineRule="exact"/>
              <w:jc w:val="center"/>
              <w:rPr>
                <w:sz w:val="18"/>
                <w:szCs w:val="18"/>
              </w:rPr>
            </w:pPr>
            <w:r>
              <w:rPr>
                <w:rFonts w:hint="eastAsia"/>
                <w:sz w:val="18"/>
                <w:szCs w:val="18"/>
              </w:rPr>
              <w:t>36</w:t>
            </w:r>
          </w:p>
        </w:tc>
        <w:tc>
          <w:tcPr>
            <w:tcW w:w="738" w:type="dxa"/>
            <w:vAlign w:val="center"/>
          </w:tcPr>
          <w:p>
            <w:pPr>
              <w:spacing w:line="220" w:lineRule="exact"/>
              <w:jc w:val="center"/>
              <w:rPr>
                <w:rFonts w:cs="宋体"/>
                <w:sz w:val="18"/>
                <w:szCs w:val="18"/>
              </w:rPr>
            </w:pPr>
          </w:p>
        </w:tc>
        <w:tc>
          <w:tcPr>
            <w:tcW w:w="838" w:type="dxa"/>
            <w:vAlign w:val="center"/>
          </w:tcPr>
          <w:p>
            <w:pPr>
              <w:spacing w:line="220" w:lineRule="exact"/>
              <w:jc w:val="center"/>
              <w:rPr>
                <w:rFonts w:cs="宋体"/>
                <w:sz w:val="18"/>
                <w:szCs w:val="18"/>
              </w:rPr>
            </w:pP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cs="宋体"/>
                <w:sz w:val="18"/>
                <w:szCs w:val="18"/>
              </w:rPr>
              <w:t>7</w:t>
            </w:r>
          </w:p>
        </w:tc>
        <w:tc>
          <w:tcPr>
            <w:tcW w:w="2726" w:type="dxa"/>
            <w:vAlign w:val="center"/>
          </w:tcPr>
          <w:p>
            <w:pPr>
              <w:spacing w:line="220" w:lineRule="exact"/>
              <w:jc w:val="left"/>
              <w:rPr>
                <w:rFonts w:cs="宋体"/>
                <w:sz w:val="18"/>
                <w:szCs w:val="18"/>
              </w:rPr>
            </w:pPr>
            <w:r>
              <w:rPr>
                <w:rFonts w:hint="eastAsia"/>
                <w:sz w:val="18"/>
                <w:szCs w:val="18"/>
              </w:rPr>
              <w:t>体育与健康</w:t>
            </w:r>
          </w:p>
        </w:tc>
        <w:tc>
          <w:tcPr>
            <w:tcW w:w="688" w:type="dxa"/>
            <w:vAlign w:val="center"/>
          </w:tcPr>
          <w:p>
            <w:pPr>
              <w:spacing w:line="220" w:lineRule="exact"/>
              <w:jc w:val="center"/>
              <w:rPr>
                <w:sz w:val="18"/>
                <w:szCs w:val="18"/>
              </w:rPr>
            </w:pPr>
            <w:r>
              <w:rPr>
                <w:rFonts w:hint="eastAsia"/>
                <w:sz w:val="18"/>
                <w:szCs w:val="18"/>
              </w:rPr>
              <w:t>108</w:t>
            </w:r>
          </w:p>
        </w:tc>
        <w:tc>
          <w:tcPr>
            <w:tcW w:w="818" w:type="dxa"/>
            <w:vAlign w:val="center"/>
          </w:tcPr>
          <w:p>
            <w:pPr>
              <w:spacing w:line="220" w:lineRule="exact"/>
              <w:jc w:val="center"/>
              <w:rPr>
                <w:sz w:val="18"/>
                <w:szCs w:val="18"/>
              </w:rPr>
            </w:pPr>
            <w:r>
              <w:rPr>
                <w:rFonts w:hint="eastAsia"/>
                <w:sz w:val="18"/>
                <w:szCs w:val="18"/>
              </w:rPr>
              <w:t>36</w:t>
            </w:r>
          </w:p>
        </w:tc>
        <w:tc>
          <w:tcPr>
            <w:tcW w:w="688" w:type="dxa"/>
            <w:vAlign w:val="center"/>
          </w:tcPr>
          <w:p>
            <w:pPr>
              <w:spacing w:line="220" w:lineRule="exact"/>
              <w:jc w:val="center"/>
              <w:rPr>
                <w:sz w:val="18"/>
                <w:szCs w:val="18"/>
              </w:rPr>
            </w:pPr>
            <w:r>
              <w:rPr>
                <w:rFonts w:hint="eastAsia"/>
                <w:sz w:val="18"/>
                <w:szCs w:val="18"/>
              </w:rPr>
              <w:t>36</w:t>
            </w:r>
          </w:p>
        </w:tc>
        <w:tc>
          <w:tcPr>
            <w:tcW w:w="729" w:type="dxa"/>
            <w:vAlign w:val="center"/>
          </w:tcPr>
          <w:p>
            <w:pPr>
              <w:spacing w:line="220" w:lineRule="exact"/>
              <w:jc w:val="center"/>
              <w:rPr>
                <w:sz w:val="18"/>
                <w:szCs w:val="18"/>
              </w:rPr>
            </w:pPr>
            <w:r>
              <w:rPr>
                <w:rFonts w:hint="eastAsia"/>
                <w:sz w:val="18"/>
                <w:szCs w:val="18"/>
              </w:rPr>
              <w:t>36</w:t>
            </w:r>
          </w:p>
        </w:tc>
        <w:tc>
          <w:tcPr>
            <w:tcW w:w="738" w:type="dxa"/>
            <w:vAlign w:val="center"/>
          </w:tcPr>
          <w:p>
            <w:pPr>
              <w:spacing w:line="220" w:lineRule="exact"/>
              <w:jc w:val="center"/>
              <w:rPr>
                <w:rFonts w:cs="宋体"/>
                <w:sz w:val="18"/>
                <w:szCs w:val="18"/>
              </w:rPr>
            </w:pPr>
          </w:p>
        </w:tc>
        <w:tc>
          <w:tcPr>
            <w:tcW w:w="838" w:type="dxa"/>
            <w:vAlign w:val="center"/>
          </w:tcPr>
          <w:p>
            <w:pPr>
              <w:spacing w:line="220" w:lineRule="exact"/>
              <w:jc w:val="center"/>
              <w:rPr>
                <w:rFonts w:cs="宋体"/>
                <w:sz w:val="18"/>
                <w:szCs w:val="18"/>
              </w:rPr>
            </w:pP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hint="eastAsia" w:cs="宋体"/>
                <w:sz w:val="18"/>
                <w:szCs w:val="18"/>
              </w:rPr>
              <w:t>8</w:t>
            </w:r>
          </w:p>
        </w:tc>
        <w:tc>
          <w:tcPr>
            <w:tcW w:w="2726" w:type="dxa"/>
            <w:vAlign w:val="center"/>
          </w:tcPr>
          <w:p>
            <w:pPr>
              <w:spacing w:line="220" w:lineRule="exact"/>
              <w:jc w:val="left"/>
              <w:rPr>
                <w:rFonts w:cs="宋体"/>
                <w:color w:val="000000" w:themeColor="text1"/>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历史</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36</w:t>
            </w:r>
          </w:p>
        </w:tc>
        <w:tc>
          <w:tcPr>
            <w:tcW w:w="818" w:type="dxa"/>
            <w:vAlign w:val="center"/>
          </w:tcPr>
          <w:p>
            <w:pPr>
              <w:spacing w:line="220" w:lineRule="exact"/>
              <w:jc w:val="center"/>
              <w:rPr>
                <w:rFonts w:ascii="Arial" w:hAnsi="Arial" w:cs="Arial"/>
                <w:sz w:val="18"/>
                <w:szCs w:val="18"/>
              </w:rPr>
            </w:pPr>
            <w:r>
              <w:rPr>
                <w:rFonts w:hint="eastAsia" w:ascii="Arial" w:hAnsi="Arial" w:cs="Arial"/>
                <w:sz w:val="18"/>
                <w:szCs w:val="18"/>
              </w:rPr>
              <w:t>36</w:t>
            </w:r>
          </w:p>
        </w:tc>
        <w:tc>
          <w:tcPr>
            <w:tcW w:w="688" w:type="dxa"/>
            <w:vAlign w:val="center"/>
          </w:tcPr>
          <w:p>
            <w:pPr>
              <w:spacing w:line="220" w:lineRule="exact"/>
              <w:jc w:val="center"/>
              <w:rPr>
                <w:rFonts w:ascii="Arial" w:hAnsi="Arial" w:cs="Arial"/>
                <w:sz w:val="18"/>
                <w:szCs w:val="18"/>
              </w:rPr>
            </w:pPr>
          </w:p>
        </w:tc>
        <w:tc>
          <w:tcPr>
            <w:tcW w:w="729" w:type="dxa"/>
            <w:vAlign w:val="center"/>
          </w:tcPr>
          <w:p>
            <w:pPr>
              <w:spacing w:line="220" w:lineRule="exact"/>
              <w:jc w:val="center"/>
              <w:rPr>
                <w:rFonts w:ascii="Arial" w:hAnsi="Arial" w:cs="Arial"/>
                <w:sz w:val="18"/>
                <w:szCs w:val="18"/>
              </w:rPr>
            </w:pPr>
          </w:p>
        </w:tc>
        <w:tc>
          <w:tcPr>
            <w:tcW w:w="738" w:type="dxa"/>
            <w:vAlign w:val="center"/>
          </w:tcPr>
          <w:p>
            <w:pPr>
              <w:spacing w:line="220" w:lineRule="exact"/>
              <w:jc w:val="center"/>
              <w:rPr>
                <w:rFonts w:ascii="Arial" w:hAnsi="Arial" w:cs="Arial"/>
                <w:sz w:val="18"/>
                <w:szCs w:val="18"/>
              </w:rPr>
            </w:pPr>
          </w:p>
        </w:tc>
        <w:tc>
          <w:tcPr>
            <w:tcW w:w="838" w:type="dxa"/>
            <w:vAlign w:val="center"/>
          </w:tcPr>
          <w:p>
            <w:pPr>
              <w:spacing w:line="220" w:lineRule="exact"/>
              <w:jc w:val="center"/>
              <w:rPr>
                <w:rFonts w:ascii="Arial" w:hAnsi="Arial" w:cs="Arial"/>
                <w:sz w:val="18"/>
                <w:szCs w:val="18"/>
              </w:rPr>
            </w:pPr>
          </w:p>
        </w:tc>
        <w:tc>
          <w:tcPr>
            <w:tcW w:w="701" w:type="dxa"/>
            <w:vAlign w:val="center"/>
          </w:tcPr>
          <w:p>
            <w:pPr>
              <w:spacing w:line="220" w:lineRule="exact"/>
              <w:jc w:val="center"/>
              <w:rPr>
                <w:rFonts w:ascii="Arial" w:hAnsi="Arial" w:cs="Arial"/>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hint="eastAsia" w:cs="宋体"/>
                <w:sz w:val="18"/>
                <w:szCs w:val="18"/>
              </w:rPr>
              <w:t>9</w:t>
            </w:r>
          </w:p>
        </w:tc>
        <w:tc>
          <w:tcPr>
            <w:tcW w:w="2726" w:type="dxa"/>
            <w:vAlign w:val="center"/>
          </w:tcPr>
          <w:p>
            <w:pPr>
              <w:spacing w:line="220" w:lineRule="exact"/>
              <w:jc w:val="left"/>
              <w:rPr>
                <w:rFonts w:cs="宋体"/>
                <w:sz w:val="18"/>
                <w:szCs w:val="18"/>
              </w:rPr>
            </w:pPr>
            <w:r>
              <w:rPr>
                <w:rFonts w:hint="eastAsia" w:cs="宋体"/>
                <w:color w:val="000000" w:themeColor="text1"/>
                <w:sz w:val="18"/>
                <w:szCs w:val="18"/>
                <w14:textFill>
                  <w14:solidFill>
                    <w14:schemeClr w14:val="tx1"/>
                  </w14:solidFill>
                </w14:textFill>
              </w:rPr>
              <w:t>劳动教育</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30</w:t>
            </w:r>
          </w:p>
        </w:tc>
        <w:tc>
          <w:tcPr>
            <w:tcW w:w="818" w:type="dxa"/>
            <w:vAlign w:val="center"/>
          </w:tcPr>
          <w:p>
            <w:pPr>
              <w:spacing w:line="220" w:lineRule="exact"/>
              <w:jc w:val="center"/>
              <w:rPr>
                <w:sz w:val="18"/>
                <w:szCs w:val="18"/>
              </w:rPr>
            </w:pPr>
            <w:r>
              <w:rPr>
                <w:rFonts w:ascii="Arial" w:hAnsi="Arial" w:cs="Arial"/>
                <w:sz w:val="18"/>
                <w:szCs w:val="18"/>
              </w:rPr>
              <w:t>√</w:t>
            </w:r>
          </w:p>
        </w:tc>
        <w:tc>
          <w:tcPr>
            <w:tcW w:w="688" w:type="dxa"/>
            <w:vAlign w:val="center"/>
          </w:tcPr>
          <w:p>
            <w:pPr>
              <w:spacing w:line="220" w:lineRule="exact"/>
              <w:jc w:val="center"/>
              <w:rPr>
                <w:sz w:val="18"/>
                <w:szCs w:val="18"/>
              </w:rPr>
            </w:pPr>
            <w:r>
              <w:rPr>
                <w:rFonts w:ascii="Arial" w:hAnsi="Arial" w:cs="Arial"/>
                <w:sz w:val="18"/>
                <w:szCs w:val="18"/>
              </w:rPr>
              <w:t>√</w:t>
            </w:r>
          </w:p>
        </w:tc>
        <w:tc>
          <w:tcPr>
            <w:tcW w:w="729" w:type="dxa"/>
            <w:vAlign w:val="center"/>
          </w:tcPr>
          <w:p>
            <w:pPr>
              <w:spacing w:line="220" w:lineRule="exact"/>
              <w:jc w:val="center"/>
              <w:rPr>
                <w:sz w:val="18"/>
                <w:szCs w:val="18"/>
              </w:rPr>
            </w:pPr>
            <w:r>
              <w:rPr>
                <w:rFonts w:ascii="Arial" w:hAnsi="Arial" w:cs="Arial"/>
                <w:sz w:val="18"/>
                <w:szCs w:val="18"/>
              </w:rPr>
              <w:t>√</w:t>
            </w:r>
          </w:p>
        </w:tc>
        <w:tc>
          <w:tcPr>
            <w:tcW w:w="738" w:type="dxa"/>
            <w:vAlign w:val="center"/>
          </w:tcPr>
          <w:p>
            <w:pPr>
              <w:spacing w:line="220" w:lineRule="exact"/>
              <w:jc w:val="center"/>
              <w:rPr>
                <w:rFonts w:cs="宋体"/>
                <w:sz w:val="18"/>
                <w:szCs w:val="18"/>
              </w:rPr>
            </w:pPr>
            <w:r>
              <w:rPr>
                <w:rFonts w:ascii="Arial" w:hAnsi="Arial" w:cs="Arial"/>
                <w:sz w:val="18"/>
                <w:szCs w:val="18"/>
              </w:rPr>
              <w:t>√</w:t>
            </w:r>
          </w:p>
        </w:tc>
        <w:tc>
          <w:tcPr>
            <w:tcW w:w="838" w:type="dxa"/>
            <w:vAlign w:val="center"/>
          </w:tcPr>
          <w:p>
            <w:pPr>
              <w:spacing w:line="220" w:lineRule="exact"/>
              <w:jc w:val="center"/>
              <w:rPr>
                <w:rFonts w:cs="宋体"/>
                <w:sz w:val="18"/>
                <w:szCs w:val="18"/>
              </w:rPr>
            </w:pPr>
            <w:r>
              <w:rPr>
                <w:rFonts w:ascii="Arial" w:hAnsi="Arial" w:cs="Arial"/>
                <w:sz w:val="18"/>
                <w:szCs w:val="18"/>
              </w:rPr>
              <w:t>√</w:t>
            </w:r>
          </w:p>
        </w:tc>
        <w:tc>
          <w:tcPr>
            <w:tcW w:w="701" w:type="dxa"/>
            <w:vAlign w:val="center"/>
          </w:tcPr>
          <w:p>
            <w:pPr>
              <w:spacing w:line="220" w:lineRule="exact"/>
              <w:jc w:val="center"/>
              <w:rPr>
                <w:rFonts w:cs="宋体"/>
                <w:sz w:val="18"/>
                <w:szCs w:val="18"/>
              </w:rPr>
            </w:pPr>
            <w:r>
              <w:rPr>
                <w:rFonts w:ascii="Arial" w:hAnsi="Arial" w:cs="Arial"/>
                <w:sz w:val="18"/>
                <w:szCs w:val="18"/>
              </w:rPr>
              <w:t>√</w:t>
            </w:r>
          </w:p>
        </w:tc>
        <w:tc>
          <w:tcPr>
            <w:tcW w:w="700" w:type="dxa"/>
            <w:vAlign w:val="center"/>
          </w:tcPr>
          <w:p>
            <w:pPr>
              <w:spacing w:line="220" w:lineRule="exact"/>
              <w:jc w:val="center"/>
              <w:rPr>
                <w:rFonts w:cs="宋体"/>
                <w:sz w:val="18"/>
                <w:szCs w:val="18"/>
              </w:rPr>
            </w:pPr>
            <w:r>
              <w:rPr>
                <w:rFonts w:hint="eastAsia" w:cs="宋体"/>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hint="eastAsia" w:cs="宋体"/>
                <w:sz w:val="18"/>
                <w:szCs w:val="18"/>
              </w:rPr>
              <w:t>二</w:t>
            </w:r>
          </w:p>
        </w:tc>
        <w:tc>
          <w:tcPr>
            <w:tcW w:w="2726" w:type="dxa"/>
            <w:vAlign w:val="center"/>
          </w:tcPr>
          <w:p>
            <w:pPr>
              <w:spacing w:line="220" w:lineRule="exact"/>
              <w:jc w:val="center"/>
              <w:rPr>
                <w:rFonts w:cs="宋体"/>
                <w:b/>
                <w:sz w:val="18"/>
                <w:szCs w:val="18"/>
              </w:rPr>
            </w:pPr>
            <w:r>
              <w:rPr>
                <w:rFonts w:hint="eastAsia" w:cs="宋体"/>
                <w:b/>
                <w:sz w:val="18"/>
                <w:szCs w:val="18"/>
              </w:rPr>
              <w:t>专业基础课</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648</w:t>
            </w:r>
          </w:p>
        </w:tc>
        <w:tc>
          <w:tcPr>
            <w:tcW w:w="818" w:type="dxa"/>
            <w:vAlign w:val="center"/>
          </w:tcPr>
          <w:p>
            <w:pPr>
              <w:spacing w:line="220" w:lineRule="exact"/>
              <w:jc w:val="center"/>
              <w:rPr>
                <w:sz w:val="18"/>
                <w:szCs w:val="18"/>
              </w:rPr>
            </w:pPr>
          </w:p>
        </w:tc>
        <w:tc>
          <w:tcPr>
            <w:tcW w:w="688" w:type="dxa"/>
            <w:vAlign w:val="center"/>
          </w:tcPr>
          <w:p>
            <w:pPr>
              <w:spacing w:line="220" w:lineRule="exact"/>
              <w:jc w:val="center"/>
              <w:rPr>
                <w:sz w:val="18"/>
                <w:szCs w:val="18"/>
              </w:rPr>
            </w:pPr>
          </w:p>
        </w:tc>
        <w:tc>
          <w:tcPr>
            <w:tcW w:w="729" w:type="dxa"/>
            <w:vAlign w:val="center"/>
          </w:tcPr>
          <w:p>
            <w:pPr>
              <w:spacing w:line="220" w:lineRule="exact"/>
              <w:jc w:val="center"/>
              <w:rPr>
                <w:sz w:val="18"/>
                <w:szCs w:val="18"/>
              </w:rPr>
            </w:pPr>
          </w:p>
        </w:tc>
        <w:tc>
          <w:tcPr>
            <w:tcW w:w="738" w:type="dxa"/>
            <w:vAlign w:val="center"/>
          </w:tcPr>
          <w:p>
            <w:pPr>
              <w:spacing w:line="220" w:lineRule="exact"/>
              <w:jc w:val="center"/>
              <w:rPr>
                <w:rFonts w:cs="宋体"/>
                <w:sz w:val="18"/>
                <w:szCs w:val="18"/>
              </w:rPr>
            </w:pPr>
          </w:p>
        </w:tc>
        <w:tc>
          <w:tcPr>
            <w:tcW w:w="838" w:type="dxa"/>
            <w:vAlign w:val="center"/>
          </w:tcPr>
          <w:p>
            <w:pPr>
              <w:spacing w:line="220" w:lineRule="exact"/>
              <w:jc w:val="center"/>
              <w:rPr>
                <w:rFonts w:cs="宋体"/>
                <w:sz w:val="18"/>
                <w:szCs w:val="18"/>
              </w:rPr>
            </w:pP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cs="宋体"/>
                <w:sz w:val="18"/>
                <w:szCs w:val="18"/>
              </w:rPr>
              <w:t>1</w:t>
            </w:r>
          </w:p>
        </w:tc>
        <w:tc>
          <w:tcPr>
            <w:tcW w:w="2726" w:type="dxa"/>
            <w:vAlign w:val="center"/>
          </w:tcPr>
          <w:p>
            <w:pPr>
              <w:spacing w:line="220" w:lineRule="exact"/>
              <w:jc w:val="left"/>
              <w:rPr>
                <w:rFonts w:cs="宋体"/>
                <w:sz w:val="18"/>
                <w:szCs w:val="18"/>
              </w:rPr>
            </w:pPr>
            <w:r>
              <w:rPr>
                <w:rFonts w:hint="eastAsia" w:cs="宋体"/>
                <w:sz w:val="18"/>
                <w:szCs w:val="18"/>
              </w:rPr>
              <w:t>无机化学与实验</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108</w:t>
            </w:r>
          </w:p>
        </w:tc>
        <w:tc>
          <w:tcPr>
            <w:tcW w:w="818" w:type="dxa"/>
            <w:vAlign w:val="center"/>
          </w:tcPr>
          <w:p>
            <w:pPr>
              <w:spacing w:line="220" w:lineRule="exact"/>
              <w:jc w:val="center"/>
              <w:rPr>
                <w:sz w:val="18"/>
                <w:szCs w:val="18"/>
              </w:rPr>
            </w:pPr>
            <w:r>
              <w:rPr>
                <w:rFonts w:hint="eastAsia"/>
                <w:sz w:val="18"/>
                <w:szCs w:val="18"/>
              </w:rPr>
              <w:t>6</w:t>
            </w:r>
          </w:p>
        </w:tc>
        <w:tc>
          <w:tcPr>
            <w:tcW w:w="688" w:type="dxa"/>
            <w:vAlign w:val="center"/>
          </w:tcPr>
          <w:p>
            <w:pPr>
              <w:spacing w:line="220" w:lineRule="exact"/>
              <w:jc w:val="center"/>
              <w:rPr>
                <w:sz w:val="18"/>
                <w:szCs w:val="18"/>
              </w:rPr>
            </w:pPr>
          </w:p>
        </w:tc>
        <w:tc>
          <w:tcPr>
            <w:tcW w:w="729" w:type="dxa"/>
            <w:vAlign w:val="center"/>
          </w:tcPr>
          <w:p>
            <w:pPr>
              <w:spacing w:line="220" w:lineRule="exact"/>
              <w:jc w:val="center"/>
              <w:rPr>
                <w:sz w:val="18"/>
                <w:szCs w:val="18"/>
              </w:rPr>
            </w:pPr>
          </w:p>
        </w:tc>
        <w:tc>
          <w:tcPr>
            <w:tcW w:w="738" w:type="dxa"/>
            <w:vAlign w:val="center"/>
          </w:tcPr>
          <w:p>
            <w:pPr>
              <w:spacing w:line="220" w:lineRule="exact"/>
              <w:jc w:val="center"/>
              <w:rPr>
                <w:sz w:val="18"/>
                <w:szCs w:val="18"/>
              </w:rPr>
            </w:pPr>
          </w:p>
        </w:tc>
        <w:tc>
          <w:tcPr>
            <w:tcW w:w="838" w:type="dxa"/>
            <w:vAlign w:val="center"/>
          </w:tcPr>
          <w:p>
            <w:pPr>
              <w:spacing w:line="220" w:lineRule="exact"/>
              <w:jc w:val="center"/>
              <w:rPr>
                <w:sz w:val="18"/>
                <w:szCs w:val="18"/>
              </w:rPr>
            </w:pP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cs="宋体"/>
                <w:sz w:val="18"/>
                <w:szCs w:val="18"/>
              </w:rPr>
              <w:t>2</w:t>
            </w:r>
          </w:p>
        </w:tc>
        <w:tc>
          <w:tcPr>
            <w:tcW w:w="2726" w:type="dxa"/>
            <w:vAlign w:val="center"/>
          </w:tcPr>
          <w:p>
            <w:pPr>
              <w:spacing w:line="220" w:lineRule="exact"/>
              <w:jc w:val="left"/>
              <w:rPr>
                <w:rFonts w:cs="宋体"/>
                <w:sz w:val="18"/>
                <w:szCs w:val="18"/>
              </w:rPr>
            </w:pPr>
            <w:r>
              <w:rPr>
                <w:rFonts w:hint="eastAsia" w:cs="宋体"/>
                <w:sz w:val="18"/>
                <w:szCs w:val="18"/>
              </w:rPr>
              <w:t>有机化学与实验</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72</w:t>
            </w:r>
          </w:p>
        </w:tc>
        <w:tc>
          <w:tcPr>
            <w:tcW w:w="818" w:type="dxa"/>
            <w:vAlign w:val="center"/>
          </w:tcPr>
          <w:p>
            <w:pPr>
              <w:spacing w:line="220" w:lineRule="exact"/>
              <w:jc w:val="center"/>
              <w:rPr>
                <w:sz w:val="18"/>
                <w:szCs w:val="18"/>
              </w:rPr>
            </w:pPr>
          </w:p>
        </w:tc>
        <w:tc>
          <w:tcPr>
            <w:tcW w:w="688" w:type="dxa"/>
            <w:vAlign w:val="center"/>
          </w:tcPr>
          <w:p>
            <w:pPr>
              <w:spacing w:line="220" w:lineRule="exact"/>
              <w:jc w:val="center"/>
              <w:rPr>
                <w:sz w:val="18"/>
                <w:szCs w:val="18"/>
              </w:rPr>
            </w:pPr>
            <w:r>
              <w:rPr>
                <w:rFonts w:hint="eastAsia"/>
                <w:sz w:val="18"/>
                <w:szCs w:val="18"/>
              </w:rPr>
              <w:t>4</w:t>
            </w:r>
          </w:p>
        </w:tc>
        <w:tc>
          <w:tcPr>
            <w:tcW w:w="729" w:type="dxa"/>
            <w:vAlign w:val="center"/>
          </w:tcPr>
          <w:p>
            <w:pPr>
              <w:spacing w:line="220" w:lineRule="exact"/>
              <w:jc w:val="center"/>
              <w:rPr>
                <w:sz w:val="18"/>
                <w:szCs w:val="18"/>
              </w:rPr>
            </w:pPr>
          </w:p>
        </w:tc>
        <w:tc>
          <w:tcPr>
            <w:tcW w:w="738" w:type="dxa"/>
            <w:vAlign w:val="center"/>
          </w:tcPr>
          <w:p>
            <w:pPr>
              <w:spacing w:line="220" w:lineRule="exact"/>
              <w:jc w:val="center"/>
              <w:rPr>
                <w:sz w:val="18"/>
                <w:szCs w:val="18"/>
              </w:rPr>
            </w:pPr>
          </w:p>
        </w:tc>
        <w:tc>
          <w:tcPr>
            <w:tcW w:w="838" w:type="dxa"/>
            <w:vAlign w:val="center"/>
          </w:tcPr>
          <w:p>
            <w:pPr>
              <w:spacing w:line="220" w:lineRule="exact"/>
              <w:jc w:val="center"/>
              <w:rPr>
                <w:sz w:val="18"/>
                <w:szCs w:val="18"/>
              </w:rPr>
            </w:pP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cs="宋体"/>
                <w:sz w:val="18"/>
                <w:szCs w:val="18"/>
              </w:rPr>
              <w:t>3</w:t>
            </w:r>
          </w:p>
        </w:tc>
        <w:tc>
          <w:tcPr>
            <w:tcW w:w="2726" w:type="dxa"/>
            <w:vAlign w:val="center"/>
          </w:tcPr>
          <w:p>
            <w:pPr>
              <w:spacing w:line="220" w:lineRule="exact"/>
              <w:jc w:val="left"/>
              <w:rPr>
                <w:rFonts w:cs="宋体"/>
                <w:sz w:val="18"/>
                <w:szCs w:val="18"/>
              </w:rPr>
            </w:pPr>
            <w:r>
              <w:rPr>
                <w:rFonts w:hint="eastAsia" w:cs="宋体"/>
                <w:sz w:val="18"/>
                <w:szCs w:val="18"/>
              </w:rPr>
              <w:t>实验室安全技术</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36</w:t>
            </w:r>
          </w:p>
        </w:tc>
        <w:tc>
          <w:tcPr>
            <w:tcW w:w="818" w:type="dxa"/>
            <w:vAlign w:val="center"/>
          </w:tcPr>
          <w:p>
            <w:pPr>
              <w:spacing w:line="220" w:lineRule="exact"/>
              <w:jc w:val="center"/>
              <w:rPr>
                <w:sz w:val="18"/>
                <w:szCs w:val="18"/>
              </w:rPr>
            </w:pPr>
          </w:p>
        </w:tc>
        <w:tc>
          <w:tcPr>
            <w:tcW w:w="688" w:type="dxa"/>
            <w:vAlign w:val="center"/>
          </w:tcPr>
          <w:p>
            <w:pPr>
              <w:spacing w:line="220" w:lineRule="exact"/>
              <w:jc w:val="center"/>
              <w:rPr>
                <w:sz w:val="18"/>
                <w:szCs w:val="18"/>
              </w:rPr>
            </w:pPr>
            <w:r>
              <w:rPr>
                <w:rFonts w:hint="eastAsia"/>
                <w:sz w:val="18"/>
                <w:szCs w:val="18"/>
              </w:rPr>
              <w:t>2</w:t>
            </w:r>
          </w:p>
        </w:tc>
        <w:tc>
          <w:tcPr>
            <w:tcW w:w="729" w:type="dxa"/>
            <w:vAlign w:val="center"/>
          </w:tcPr>
          <w:p>
            <w:pPr>
              <w:spacing w:line="220" w:lineRule="exact"/>
              <w:jc w:val="center"/>
              <w:rPr>
                <w:sz w:val="18"/>
                <w:szCs w:val="18"/>
              </w:rPr>
            </w:pPr>
          </w:p>
        </w:tc>
        <w:tc>
          <w:tcPr>
            <w:tcW w:w="738" w:type="dxa"/>
            <w:vAlign w:val="center"/>
          </w:tcPr>
          <w:p>
            <w:pPr>
              <w:spacing w:line="220" w:lineRule="exact"/>
              <w:jc w:val="center"/>
              <w:rPr>
                <w:sz w:val="18"/>
                <w:szCs w:val="18"/>
              </w:rPr>
            </w:pPr>
          </w:p>
        </w:tc>
        <w:tc>
          <w:tcPr>
            <w:tcW w:w="838" w:type="dxa"/>
            <w:vAlign w:val="center"/>
          </w:tcPr>
          <w:p>
            <w:pPr>
              <w:spacing w:line="220" w:lineRule="exact"/>
              <w:jc w:val="center"/>
              <w:rPr>
                <w:sz w:val="18"/>
                <w:szCs w:val="18"/>
              </w:rPr>
            </w:pP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hint="eastAsia" w:cs="宋体"/>
                <w:sz w:val="18"/>
                <w:szCs w:val="18"/>
              </w:rPr>
              <w:t>4</w:t>
            </w:r>
          </w:p>
        </w:tc>
        <w:tc>
          <w:tcPr>
            <w:tcW w:w="2726" w:type="dxa"/>
            <w:vAlign w:val="center"/>
          </w:tcPr>
          <w:p>
            <w:pPr>
              <w:spacing w:line="220" w:lineRule="exact"/>
              <w:jc w:val="left"/>
              <w:rPr>
                <w:rFonts w:cs="宋体"/>
                <w:sz w:val="18"/>
                <w:szCs w:val="18"/>
              </w:rPr>
            </w:pPr>
            <w:r>
              <w:rPr>
                <w:rFonts w:hint="eastAsia" w:cs="宋体"/>
                <w:sz w:val="18"/>
                <w:szCs w:val="18"/>
              </w:rPr>
              <w:t>计量与标准化基础知识</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72</w:t>
            </w:r>
          </w:p>
        </w:tc>
        <w:tc>
          <w:tcPr>
            <w:tcW w:w="818" w:type="dxa"/>
            <w:vAlign w:val="center"/>
          </w:tcPr>
          <w:p>
            <w:pPr>
              <w:spacing w:line="220" w:lineRule="exact"/>
              <w:jc w:val="center"/>
              <w:rPr>
                <w:sz w:val="18"/>
                <w:szCs w:val="18"/>
              </w:rPr>
            </w:pPr>
          </w:p>
        </w:tc>
        <w:tc>
          <w:tcPr>
            <w:tcW w:w="688" w:type="dxa"/>
            <w:vAlign w:val="center"/>
          </w:tcPr>
          <w:p>
            <w:pPr>
              <w:spacing w:line="220" w:lineRule="exact"/>
              <w:jc w:val="center"/>
              <w:rPr>
                <w:sz w:val="18"/>
                <w:szCs w:val="18"/>
              </w:rPr>
            </w:pPr>
          </w:p>
        </w:tc>
        <w:tc>
          <w:tcPr>
            <w:tcW w:w="729" w:type="dxa"/>
            <w:vAlign w:val="center"/>
          </w:tcPr>
          <w:p>
            <w:pPr>
              <w:spacing w:line="220" w:lineRule="exact"/>
              <w:jc w:val="center"/>
              <w:rPr>
                <w:sz w:val="18"/>
                <w:szCs w:val="18"/>
              </w:rPr>
            </w:pPr>
          </w:p>
        </w:tc>
        <w:tc>
          <w:tcPr>
            <w:tcW w:w="738" w:type="dxa"/>
            <w:vAlign w:val="center"/>
          </w:tcPr>
          <w:p>
            <w:pPr>
              <w:spacing w:line="220" w:lineRule="exact"/>
              <w:jc w:val="center"/>
              <w:rPr>
                <w:sz w:val="18"/>
                <w:szCs w:val="18"/>
              </w:rPr>
            </w:pPr>
            <w:r>
              <w:rPr>
                <w:rFonts w:hint="eastAsia"/>
                <w:sz w:val="18"/>
                <w:szCs w:val="18"/>
              </w:rPr>
              <w:t>4</w:t>
            </w:r>
          </w:p>
        </w:tc>
        <w:tc>
          <w:tcPr>
            <w:tcW w:w="838" w:type="dxa"/>
            <w:vAlign w:val="center"/>
          </w:tcPr>
          <w:p>
            <w:pPr>
              <w:spacing w:line="220" w:lineRule="exact"/>
              <w:jc w:val="center"/>
              <w:rPr>
                <w:sz w:val="18"/>
                <w:szCs w:val="18"/>
              </w:rPr>
            </w:pP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hint="eastAsia" w:cs="宋体"/>
                <w:sz w:val="18"/>
                <w:szCs w:val="18"/>
              </w:rPr>
              <w:t>5</w:t>
            </w:r>
          </w:p>
        </w:tc>
        <w:tc>
          <w:tcPr>
            <w:tcW w:w="2726" w:type="dxa"/>
            <w:vAlign w:val="center"/>
          </w:tcPr>
          <w:p>
            <w:pPr>
              <w:spacing w:line="220" w:lineRule="exact"/>
              <w:jc w:val="left"/>
              <w:rPr>
                <w:rFonts w:cs="宋体"/>
                <w:sz w:val="18"/>
                <w:szCs w:val="18"/>
              </w:rPr>
            </w:pPr>
            <w:r>
              <w:rPr>
                <w:rFonts w:hint="eastAsia" w:cs="宋体"/>
                <w:sz w:val="18"/>
                <w:szCs w:val="18"/>
              </w:rPr>
              <w:t>化验室组织与管理</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72</w:t>
            </w:r>
          </w:p>
        </w:tc>
        <w:tc>
          <w:tcPr>
            <w:tcW w:w="818" w:type="dxa"/>
            <w:vAlign w:val="center"/>
          </w:tcPr>
          <w:p>
            <w:pPr>
              <w:spacing w:line="220" w:lineRule="exact"/>
              <w:jc w:val="center"/>
              <w:rPr>
                <w:sz w:val="18"/>
                <w:szCs w:val="18"/>
              </w:rPr>
            </w:pPr>
          </w:p>
        </w:tc>
        <w:tc>
          <w:tcPr>
            <w:tcW w:w="688" w:type="dxa"/>
            <w:vAlign w:val="center"/>
          </w:tcPr>
          <w:p>
            <w:pPr>
              <w:spacing w:line="220" w:lineRule="exact"/>
              <w:jc w:val="center"/>
              <w:rPr>
                <w:sz w:val="18"/>
                <w:szCs w:val="18"/>
              </w:rPr>
            </w:pPr>
          </w:p>
        </w:tc>
        <w:tc>
          <w:tcPr>
            <w:tcW w:w="729" w:type="dxa"/>
            <w:vAlign w:val="center"/>
          </w:tcPr>
          <w:p>
            <w:pPr>
              <w:spacing w:line="220" w:lineRule="exact"/>
              <w:jc w:val="center"/>
              <w:rPr>
                <w:sz w:val="18"/>
                <w:szCs w:val="18"/>
              </w:rPr>
            </w:pPr>
          </w:p>
        </w:tc>
        <w:tc>
          <w:tcPr>
            <w:tcW w:w="738" w:type="dxa"/>
            <w:vAlign w:val="center"/>
          </w:tcPr>
          <w:p>
            <w:pPr>
              <w:spacing w:line="220" w:lineRule="exact"/>
              <w:jc w:val="center"/>
              <w:rPr>
                <w:sz w:val="18"/>
                <w:szCs w:val="18"/>
              </w:rPr>
            </w:pPr>
            <w:r>
              <w:rPr>
                <w:rFonts w:hint="eastAsia"/>
                <w:sz w:val="18"/>
                <w:szCs w:val="18"/>
              </w:rPr>
              <w:t>4</w:t>
            </w:r>
          </w:p>
        </w:tc>
        <w:tc>
          <w:tcPr>
            <w:tcW w:w="838" w:type="dxa"/>
            <w:vAlign w:val="center"/>
          </w:tcPr>
          <w:p>
            <w:pPr>
              <w:spacing w:line="220" w:lineRule="exact"/>
              <w:jc w:val="center"/>
              <w:rPr>
                <w:sz w:val="18"/>
                <w:szCs w:val="18"/>
              </w:rPr>
            </w:pP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hint="eastAsia" w:cs="宋体"/>
                <w:sz w:val="18"/>
                <w:szCs w:val="18"/>
              </w:rPr>
              <w:t>6</w:t>
            </w:r>
          </w:p>
        </w:tc>
        <w:tc>
          <w:tcPr>
            <w:tcW w:w="2726" w:type="dxa"/>
            <w:vAlign w:val="center"/>
          </w:tcPr>
          <w:p>
            <w:pPr>
              <w:spacing w:line="220" w:lineRule="exact"/>
              <w:jc w:val="left"/>
              <w:rPr>
                <w:rFonts w:cs="宋体"/>
                <w:sz w:val="18"/>
                <w:szCs w:val="18"/>
              </w:rPr>
            </w:pPr>
            <w:r>
              <w:rPr>
                <w:rFonts w:hint="eastAsia" w:cs="宋体"/>
                <w:sz w:val="18"/>
                <w:szCs w:val="18"/>
              </w:rPr>
              <w:t>工业化学</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72</w:t>
            </w:r>
          </w:p>
        </w:tc>
        <w:tc>
          <w:tcPr>
            <w:tcW w:w="818" w:type="dxa"/>
            <w:vAlign w:val="center"/>
          </w:tcPr>
          <w:p>
            <w:pPr>
              <w:spacing w:line="220" w:lineRule="exact"/>
              <w:jc w:val="center"/>
              <w:rPr>
                <w:sz w:val="18"/>
                <w:szCs w:val="18"/>
              </w:rPr>
            </w:pPr>
          </w:p>
        </w:tc>
        <w:tc>
          <w:tcPr>
            <w:tcW w:w="688" w:type="dxa"/>
            <w:vAlign w:val="center"/>
          </w:tcPr>
          <w:p>
            <w:pPr>
              <w:spacing w:line="220" w:lineRule="exact"/>
              <w:jc w:val="center"/>
              <w:rPr>
                <w:sz w:val="18"/>
                <w:szCs w:val="18"/>
              </w:rPr>
            </w:pPr>
          </w:p>
        </w:tc>
        <w:tc>
          <w:tcPr>
            <w:tcW w:w="729" w:type="dxa"/>
            <w:vAlign w:val="center"/>
          </w:tcPr>
          <w:p>
            <w:pPr>
              <w:spacing w:line="220" w:lineRule="exact"/>
              <w:jc w:val="center"/>
              <w:rPr>
                <w:sz w:val="18"/>
                <w:szCs w:val="18"/>
              </w:rPr>
            </w:pPr>
          </w:p>
        </w:tc>
        <w:tc>
          <w:tcPr>
            <w:tcW w:w="738" w:type="dxa"/>
            <w:vAlign w:val="center"/>
          </w:tcPr>
          <w:p>
            <w:pPr>
              <w:spacing w:line="220" w:lineRule="exact"/>
              <w:jc w:val="center"/>
              <w:rPr>
                <w:sz w:val="18"/>
                <w:szCs w:val="18"/>
              </w:rPr>
            </w:pPr>
          </w:p>
        </w:tc>
        <w:tc>
          <w:tcPr>
            <w:tcW w:w="838" w:type="dxa"/>
            <w:vAlign w:val="center"/>
          </w:tcPr>
          <w:p>
            <w:pPr>
              <w:spacing w:line="220" w:lineRule="exact"/>
              <w:jc w:val="center"/>
              <w:rPr>
                <w:sz w:val="18"/>
                <w:szCs w:val="18"/>
              </w:rPr>
            </w:pPr>
            <w:r>
              <w:rPr>
                <w:rFonts w:hint="eastAsia"/>
                <w:sz w:val="18"/>
                <w:szCs w:val="18"/>
              </w:rPr>
              <w:t>4</w:t>
            </w: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hint="eastAsia" w:cs="宋体"/>
                <w:sz w:val="18"/>
                <w:szCs w:val="18"/>
              </w:rPr>
              <w:t>7</w:t>
            </w:r>
          </w:p>
        </w:tc>
        <w:tc>
          <w:tcPr>
            <w:tcW w:w="2726" w:type="dxa"/>
            <w:vAlign w:val="center"/>
          </w:tcPr>
          <w:p>
            <w:pPr>
              <w:spacing w:line="220" w:lineRule="exact"/>
              <w:jc w:val="left"/>
              <w:rPr>
                <w:rFonts w:cs="宋体"/>
                <w:sz w:val="18"/>
                <w:szCs w:val="18"/>
              </w:rPr>
            </w:pPr>
            <w:r>
              <w:rPr>
                <w:rFonts w:hint="eastAsia" w:cs="宋体"/>
                <w:sz w:val="18"/>
                <w:szCs w:val="18"/>
              </w:rPr>
              <w:t>化工安全与环保</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72</w:t>
            </w:r>
          </w:p>
        </w:tc>
        <w:tc>
          <w:tcPr>
            <w:tcW w:w="818" w:type="dxa"/>
            <w:vAlign w:val="center"/>
          </w:tcPr>
          <w:p>
            <w:pPr>
              <w:spacing w:line="220" w:lineRule="exact"/>
              <w:jc w:val="center"/>
              <w:rPr>
                <w:sz w:val="18"/>
                <w:szCs w:val="18"/>
              </w:rPr>
            </w:pPr>
          </w:p>
        </w:tc>
        <w:tc>
          <w:tcPr>
            <w:tcW w:w="688" w:type="dxa"/>
            <w:vAlign w:val="center"/>
          </w:tcPr>
          <w:p>
            <w:pPr>
              <w:spacing w:line="220" w:lineRule="exact"/>
              <w:jc w:val="center"/>
              <w:rPr>
                <w:sz w:val="18"/>
                <w:szCs w:val="18"/>
              </w:rPr>
            </w:pPr>
          </w:p>
        </w:tc>
        <w:tc>
          <w:tcPr>
            <w:tcW w:w="729" w:type="dxa"/>
            <w:vAlign w:val="center"/>
          </w:tcPr>
          <w:p>
            <w:pPr>
              <w:spacing w:line="220" w:lineRule="exact"/>
              <w:jc w:val="center"/>
              <w:rPr>
                <w:sz w:val="18"/>
                <w:szCs w:val="18"/>
              </w:rPr>
            </w:pPr>
          </w:p>
        </w:tc>
        <w:tc>
          <w:tcPr>
            <w:tcW w:w="738" w:type="dxa"/>
            <w:vAlign w:val="center"/>
          </w:tcPr>
          <w:p>
            <w:pPr>
              <w:spacing w:line="220" w:lineRule="exact"/>
              <w:jc w:val="center"/>
              <w:rPr>
                <w:sz w:val="18"/>
                <w:szCs w:val="18"/>
              </w:rPr>
            </w:pPr>
          </w:p>
        </w:tc>
        <w:tc>
          <w:tcPr>
            <w:tcW w:w="838" w:type="dxa"/>
            <w:vAlign w:val="center"/>
          </w:tcPr>
          <w:p>
            <w:pPr>
              <w:spacing w:line="220" w:lineRule="exact"/>
              <w:jc w:val="center"/>
              <w:rPr>
                <w:sz w:val="18"/>
                <w:szCs w:val="18"/>
              </w:rPr>
            </w:pPr>
            <w:r>
              <w:rPr>
                <w:rFonts w:hint="eastAsia"/>
                <w:sz w:val="18"/>
                <w:szCs w:val="18"/>
              </w:rPr>
              <w:t>4</w:t>
            </w: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hint="eastAsia" w:cs="宋体"/>
                <w:sz w:val="18"/>
                <w:szCs w:val="18"/>
              </w:rPr>
              <w:t>8</w:t>
            </w:r>
          </w:p>
        </w:tc>
        <w:tc>
          <w:tcPr>
            <w:tcW w:w="2726" w:type="dxa"/>
            <w:vAlign w:val="center"/>
          </w:tcPr>
          <w:p>
            <w:pPr>
              <w:spacing w:line="220" w:lineRule="exact"/>
              <w:jc w:val="left"/>
              <w:rPr>
                <w:rFonts w:cs="宋体"/>
                <w:sz w:val="18"/>
                <w:szCs w:val="18"/>
              </w:rPr>
            </w:pPr>
            <w:r>
              <w:rPr>
                <w:rFonts w:hint="eastAsia" w:cs="宋体"/>
                <w:sz w:val="18"/>
                <w:szCs w:val="18"/>
              </w:rPr>
              <w:t>分析化学</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144</w:t>
            </w:r>
          </w:p>
        </w:tc>
        <w:tc>
          <w:tcPr>
            <w:tcW w:w="818" w:type="dxa"/>
            <w:vAlign w:val="center"/>
          </w:tcPr>
          <w:p>
            <w:pPr>
              <w:spacing w:line="220" w:lineRule="exact"/>
              <w:jc w:val="center"/>
              <w:rPr>
                <w:sz w:val="18"/>
                <w:szCs w:val="18"/>
              </w:rPr>
            </w:pPr>
          </w:p>
        </w:tc>
        <w:tc>
          <w:tcPr>
            <w:tcW w:w="688" w:type="dxa"/>
            <w:vAlign w:val="center"/>
          </w:tcPr>
          <w:p>
            <w:pPr>
              <w:spacing w:line="220" w:lineRule="exact"/>
              <w:jc w:val="center"/>
              <w:rPr>
                <w:sz w:val="18"/>
                <w:szCs w:val="18"/>
              </w:rPr>
            </w:pPr>
          </w:p>
        </w:tc>
        <w:tc>
          <w:tcPr>
            <w:tcW w:w="729" w:type="dxa"/>
            <w:vAlign w:val="center"/>
          </w:tcPr>
          <w:p>
            <w:pPr>
              <w:spacing w:line="220" w:lineRule="exact"/>
              <w:jc w:val="center"/>
              <w:rPr>
                <w:sz w:val="18"/>
                <w:szCs w:val="18"/>
              </w:rPr>
            </w:pPr>
          </w:p>
        </w:tc>
        <w:tc>
          <w:tcPr>
            <w:tcW w:w="738" w:type="dxa"/>
            <w:vAlign w:val="center"/>
          </w:tcPr>
          <w:p>
            <w:pPr>
              <w:spacing w:line="220" w:lineRule="exact"/>
              <w:jc w:val="center"/>
              <w:rPr>
                <w:sz w:val="18"/>
                <w:szCs w:val="18"/>
              </w:rPr>
            </w:pPr>
          </w:p>
        </w:tc>
        <w:tc>
          <w:tcPr>
            <w:tcW w:w="838" w:type="dxa"/>
            <w:vAlign w:val="center"/>
          </w:tcPr>
          <w:p>
            <w:pPr>
              <w:spacing w:line="220" w:lineRule="exact"/>
              <w:jc w:val="center"/>
              <w:rPr>
                <w:sz w:val="18"/>
                <w:szCs w:val="18"/>
              </w:rPr>
            </w:pPr>
            <w:r>
              <w:rPr>
                <w:rFonts w:hint="eastAsia"/>
                <w:sz w:val="18"/>
                <w:szCs w:val="18"/>
              </w:rPr>
              <w:t>8</w:t>
            </w:r>
          </w:p>
        </w:tc>
        <w:tc>
          <w:tcPr>
            <w:tcW w:w="701" w:type="dxa"/>
            <w:vAlign w:val="center"/>
          </w:tcPr>
          <w:p>
            <w:pPr>
              <w:spacing w:line="220" w:lineRule="exact"/>
              <w:jc w:val="center"/>
              <w:rPr>
                <w:rFonts w:cs="宋体"/>
                <w:sz w:val="18"/>
                <w:szCs w:val="18"/>
              </w:rPr>
            </w:pPr>
          </w:p>
        </w:tc>
        <w:tc>
          <w:tcPr>
            <w:tcW w:w="700" w:type="dxa"/>
            <w:vAlign w:val="center"/>
          </w:tcPr>
          <w:p>
            <w:pPr>
              <w:spacing w:line="220" w:lineRule="exact"/>
              <w:jc w:val="center"/>
              <w:rPr>
                <w:rFonts w:cs="宋体"/>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rFonts w:cs="宋体"/>
                <w:sz w:val="18"/>
                <w:szCs w:val="18"/>
              </w:rPr>
            </w:pPr>
            <w:r>
              <w:rPr>
                <w:rFonts w:hint="eastAsia" w:cs="宋体"/>
                <w:sz w:val="18"/>
                <w:szCs w:val="18"/>
              </w:rPr>
              <w:t>三</w:t>
            </w:r>
          </w:p>
        </w:tc>
        <w:tc>
          <w:tcPr>
            <w:tcW w:w="2726" w:type="dxa"/>
            <w:vAlign w:val="center"/>
          </w:tcPr>
          <w:p>
            <w:pPr>
              <w:spacing w:line="220" w:lineRule="exact"/>
              <w:jc w:val="center"/>
              <w:rPr>
                <w:rFonts w:cs="宋体"/>
                <w:b/>
                <w:sz w:val="18"/>
                <w:szCs w:val="18"/>
              </w:rPr>
            </w:pPr>
            <w:r>
              <w:rPr>
                <w:rFonts w:hint="eastAsia" w:cs="宋体"/>
                <w:b/>
                <w:sz w:val="18"/>
                <w:szCs w:val="18"/>
              </w:rPr>
              <w:t>专业技能课</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540</w:t>
            </w:r>
          </w:p>
        </w:tc>
        <w:tc>
          <w:tcPr>
            <w:tcW w:w="818" w:type="dxa"/>
            <w:vAlign w:val="center"/>
          </w:tcPr>
          <w:p>
            <w:pPr>
              <w:spacing w:line="360" w:lineRule="auto"/>
              <w:jc w:val="center"/>
              <w:rPr>
                <w:rFonts w:cs="宋体"/>
                <w:sz w:val="18"/>
                <w:szCs w:val="18"/>
              </w:rPr>
            </w:pPr>
          </w:p>
        </w:tc>
        <w:tc>
          <w:tcPr>
            <w:tcW w:w="688" w:type="dxa"/>
            <w:vAlign w:val="center"/>
          </w:tcPr>
          <w:p>
            <w:pPr>
              <w:spacing w:line="360" w:lineRule="auto"/>
              <w:jc w:val="center"/>
              <w:rPr>
                <w:rFonts w:cs="宋体"/>
                <w:sz w:val="18"/>
                <w:szCs w:val="18"/>
              </w:rPr>
            </w:pPr>
          </w:p>
        </w:tc>
        <w:tc>
          <w:tcPr>
            <w:tcW w:w="729" w:type="dxa"/>
            <w:vAlign w:val="center"/>
          </w:tcPr>
          <w:p>
            <w:pPr>
              <w:spacing w:line="360" w:lineRule="auto"/>
              <w:jc w:val="center"/>
              <w:rPr>
                <w:rFonts w:cs="宋体"/>
                <w:sz w:val="18"/>
                <w:szCs w:val="18"/>
              </w:rPr>
            </w:pPr>
          </w:p>
        </w:tc>
        <w:tc>
          <w:tcPr>
            <w:tcW w:w="738" w:type="dxa"/>
            <w:vAlign w:val="center"/>
          </w:tcPr>
          <w:p>
            <w:pPr>
              <w:jc w:val="center"/>
              <w:rPr>
                <w:rFonts w:cs="宋体"/>
                <w:sz w:val="18"/>
                <w:szCs w:val="18"/>
              </w:rPr>
            </w:pPr>
          </w:p>
        </w:tc>
        <w:tc>
          <w:tcPr>
            <w:tcW w:w="838" w:type="dxa"/>
            <w:vAlign w:val="center"/>
          </w:tcPr>
          <w:p>
            <w:pPr>
              <w:spacing w:line="360" w:lineRule="auto"/>
              <w:jc w:val="center"/>
              <w:rPr>
                <w:rFonts w:cs="宋体"/>
                <w:sz w:val="18"/>
                <w:szCs w:val="18"/>
              </w:rPr>
            </w:pPr>
          </w:p>
        </w:tc>
        <w:tc>
          <w:tcPr>
            <w:tcW w:w="701" w:type="dxa"/>
            <w:vAlign w:val="center"/>
          </w:tcPr>
          <w:p>
            <w:pPr>
              <w:spacing w:line="360" w:lineRule="auto"/>
              <w:jc w:val="center"/>
              <w:rPr>
                <w:rFonts w:cs="宋体"/>
                <w:sz w:val="18"/>
                <w:szCs w:val="18"/>
              </w:rPr>
            </w:pPr>
          </w:p>
        </w:tc>
        <w:tc>
          <w:tcPr>
            <w:tcW w:w="700" w:type="dxa"/>
            <w:vAlign w:val="center"/>
          </w:tcPr>
          <w:p>
            <w:pPr>
              <w:spacing w:line="220" w:lineRule="exact"/>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sz w:val="18"/>
                <w:szCs w:val="18"/>
              </w:rPr>
            </w:pPr>
            <w:r>
              <w:rPr>
                <w:sz w:val="18"/>
                <w:szCs w:val="18"/>
              </w:rPr>
              <w:t>1</w:t>
            </w:r>
          </w:p>
        </w:tc>
        <w:tc>
          <w:tcPr>
            <w:tcW w:w="2726" w:type="dxa"/>
            <w:vAlign w:val="center"/>
          </w:tcPr>
          <w:p>
            <w:pPr>
              <w:jc w:val="left"/>
              <w:rPr>
                <w:rFonts w:ascii="宋体" w:hAnsi="宋体"/>
                <w:szCs w:val="21"/>
              </w:rPr>
            </w:pPr>
            <w:r>
              <w:rPr>
                <w:rFonts w:hint="eastAsia"/>
                <w:sz w:val="18"/>
                <w:szCs w:val="18"/>
              </w:rPr>
              <w:t>分析化学基础知识与基本操作</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216</w:t>
            </w:r>
          </w:p>
        </w:tc>
        <w:tc>
          <w:tcPr>
            <w:tcW w:w="818" w:type="dxa"/>
            <w:vAlign w:val="center"/>
          </w:tcPr>
          <w:p>
            <w:pPr>
              <w:spacing w:line="360" w:lineRule="auto"/>
              <w:jc w:val="center"/>
              <w:rPr>
                <w:color w:val="FF0000"/>
                <w:sz w:val="18"/>
                <w:szCs w:val="18"/>
              </w:rPr>
            </w:pPr>
            <w:r>
              <w:rPr>
                <w:rFonts w:hint="eastAsia" w:ascii="宋体" w:hAnsi="宋体" w:eastAsia="宋体" w:cs="宋体"/>
                <w:sz w:val="18"/>
                <w:szCs w:val="18"/>
              </w:rPr>
              <w:t>12</w:t>
            </w:r>
          </w:p>
        </w:tc>
        <w:tc>
          <w:tcPr>
            <w:tcW w:w="688" w:type="dxa"/>
            <w:vAlign w:val="center"/>
          </w:tcPr>
          <w:p>
            <w:pPr>
              <w:spacing w:line="360" w:lineRule="auto"/>
              <w:jc w:val="center"/>
              <w:rPr>
                <w:color w:val="FF0000"/>
                <w:sz w:val="18"/>
                <w:szCs w:val="18"/>
              </w:rPr>
            </w:pPr>
          </w:p>
        </w:tc>
        <w:tc>
          <w:tcPr>
            <w:tcW w:w="729" w:type="dxa"/>
            <w:vAlign w:val="center"/>
          </w:tcPr>
          <w:p>
            <w:pPr>
              <w:spacing w:line="360" w:lineRule="auto"/>
              <w:jc w:val="center"/>
              <w:rPr>
                <w:color w:val="FF0000"/>
                <w:sz w:val="18"/>
                <w:szCs w:val="18"/>
              </w:rPr>
            </w:pPr>
          </w:p>
        </w:tc>
        <w:tc>
          <w:tcPr>
            <w:tcW w:w="738" w:type="dxa"/>
            <w:vAlign w:val="center"/>
          </w:tcPr>
          <w:p>
            <w:pPr>
              <w:jc w:val="center"/>
              <w:rPr>
                <w:color w:val="FF0000"/>
                <w:sz w:val="18"/>
                <w:szCs w:val="18"/>
              </w:rPr>
            </w:pPr>
          </w:p>
        </w:tc>
        <w:tc>
          <w:tcPr>
            <w:tcW w:w="838" w:type="dxa"/>
            <w:vAlign w:val="center"/>
          </w:tcPr>
          <w:p>
            <w:pPr>
              <w:spacing w:line="360" w:lineRule="auto"/>
              <w:jc w:val="center"/>
              <w:rPr>
                <w:color w:val="FF0000"/>
                <w:sz w:val="18"/>
                <w:szCs w:val="18"/>
              </w:rPr>
            </w:pPr>
            <w:r>
              <w:rPr>
                <w:rFonts w:hint="eastAsia" w:ascii="宋体" w:hAnsi="宋体" w:eastAsia="宋体" w:cs="宋体"/>
                <w:sz w:val="18"/>
                <w:szCs w:val="18"/>
              </w:rPr>
              <w:t>12</w:t>
            </w:r>
          </w:p>
        </w:tc>
        <w:tc>
          <w:tcPr>
            <w:tcW w:w="701" w:type="dxa"/>
            <w:vAlign w:val="center"/>
          </w:tcPr>
          <w:p>
            <w:pPr>
              <w:spacing w:line="360" w:lineRule="auto"/>
              <w:jc w:val="center"/>
              <w:rPr>
                <w:color w:val="FF0000"/>
                <w:sz w:val="18"/>
                <w:szCs w:val="18"/>
              </w:rPr>
            </w:pPr>
          </w:p>
        </w:tc>
        <w:tc>
          <w:tcPr>
            <w:tcW w:w="700" w:type="dxa"/>
            <w:vAlign w:val="center"/>
          </w:tcPr>
          <w:p>
            <w:pPr>
              <w:spacing w:line="220" w:lineRule="exact"/>
              <w:jc w:val="center"/>
              <w:rPr>
                <w:color w:val="FF0000"/>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495" w:type="dxa"/>
            <w:vAlign w:val="center"/>
          </w:tcPr>
          <w:p>
            <w:pPr>
              <w:spacing w:line="220" w:lineRule="exact"/>
              <w:jc w:val="center"/>
              <w:rPr>
                <w:sz w:val="18"/>
                <w:szCs w:val="18"/>
              </w:rPr>
            </w:pPr>
            <w:r>
              <w:rPr>
                <w:rFonts w:hint="eastAsia"/>
                <w:sz w:val="18"/>
                <w:szCs w:val="18"/>
              </w:rPr>
              <w:t>2</w:t>
            </w:r>
          </w:p>
        </w:tc>
        <w:tc>
          <w:tcPr>
            <w:tcW w:w="2726" w:type="dxa"/>
            <w:vAlign w:val="center"/>
          </w:tcPr>
          <w:p>
            <w:pPr>
              <w:spacing w:line="360" w:lineRule="auto"/>
              <w:jc w:val="left"/>
              <w:rPr>
                <w:rFonts w:ascii="宋体" w:hAnsi="宋体"/>
                <w:szCs w:val="21"/>
              </w:rPr>
            </w:pPr>
            <w:r>
              <w:rPr>
                <w:rFonts w:hint="eastAsia"/>
                <w:sz w:val="18"/>
                <w:szCs w:val="18"/>
              </w:rPr>
              <w:t>试样采集与制备</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72</w:t>
            </w:r>
          </w:p>
        </w:tc>
        <w:tc>
          <w:tcPr>
            <w:tcW w:w="818" w:type="dxa"/>
            <w:vAlign w:val="center"/>
          </w:tcPr>
          <w:p>
            <w:pPr>
              <w:spacing w:line="360" w:lineRule="auto"/>
              <w:jc w:val="center"/>
              <w:rPr>
                <w:color w:val="FF0000"/>
                <w:sz w:val="18"/>
                <w:szCs w:val="18"/>
              </w:rPr>
            </w:pPr>
          </w:p>
        </w:tc>
        <w:tc>
          <w:tcPr>
            <w:tcW w:w="688" w:type="dxa"/>
            <w:vAlign w:val="center"/>
          </w:tcPr>
          <w:p>
            <w:pPr>
              <w:spacing w:line="360" w:lineRule="auto"/>
              <w:jc w:val="center"/>
              <w:rPr>
                <w:color w:val="FF0000"/>
                <w:sz w:val="18"/>
                <w:szCs w:val="18"/>
              </w:rPr>
            </w:pPr>
          </w:p>
        </w:tc>
        <w:tc>
          <w:tcPr>
            <w:tcW w:w="729" w:type="dxa"/>
            <w:vAlign w:val="center"/>
          </w:tcPr>
          <w:p>
            <w:pPr>
              <w:spacing w:line="360" w:lineRule="auto"/>
              <w:jc w:val="center"/>
              <w:rPr>
                <w:color w:val="FF0000"/>
                <w:sz w:val="18"/>
                <w:szCs w:val="18"/>
              </w:rPr>
            </w:pPr>
            <w:r>
              <w:rPr>
                <w:rFonts w:hint="eastAsia" w:ascii="宋体" w:hAnsi="宋体" w:eastAsia="宋体" w:cs="宋体"/>
                <w:sz w:val="18"/>
                <w:szCs w:val="18"/>
              </w:rPr>
              <w:t>4</w:t>
            </w:r>
          </w:p>
        </w:tc>
        <w:tc>
          <w:tcPr>
            <w:tcW w:w="738" w:type="dxa"/>
            <w:vAlign w:val="center"/>
          </w:tcPr>
          <w:p>
            <w:pPr>
              <w:jc w:val="center"/>
              <w:rPr>
                <w:color w:val="FF0000"/>
                <w:sz w:val="18"/>
                <w:szCs w:val="18"/>
              </w:rPr>
            </w:pPr>
          </w:p>
        </w:tc>
        <w:tc>
          <w:tcPr>
            <w:tcW w:w="838" w:type="dxa"/>
            <w:vAlign w:val="center"/>
          </w:tcPr>
          <w:p>
            <w:pPr>
              <w:spacing w:line="360" w:lineRule="auto"/>
              <w:jc w:val="center"/>
              <w:rPr>
                <w:color w:val="FF0000"/>
                <w:sz w:val="18"/>
                <w:szCs w:val="18"/>
              </w:rPr>
            </w:pPr>
          </w:p>
        </w:tc>
        <w:tc>
          <w:tcPr>
            <w:tcW w:w="701" w:type="dxa"/>
            <w:vAlign w:val="center"/>
          </w:tcPr>
          <w:p>
            <w:pPr>
              <w:spacing w:line="360" w:lineRule="auto"/>
              <w:jc w:val="center"/>
              <w:rPr>
                <w:color w:val="FF0000"/>
                <w:sz w:val="18"/>
                <w:szCs w:val="18"/>
              </w:rPr>
            </w:pPr>
          </w:p>
        </w:tc>
        <w:tc>
          <w:tcPr>
            <w:tcW w:w="700" w:type="dxa"/>
            <w:vAlign w:val="center"/>
          </w:tcPr>
          <w:p>
            <w:pPr>
              <w:spacing w:line="220" w:lineRule="exact"/>
              <w:jc w:val="center"/>
              <w:rPr>
                <w:color w:val="FF0000"/>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sz w:val="18"/>
                <w:szCs w:val="18"/>
              </w:rPr>
            </w:pPr>
            <w:r>
              <w:rPr>
                <w:rFonts w:hint="eastAsia"/>
                <w:sz w:val="18"/>
                <w:szCs w:val="18"/>
              </w:rPr>
              <w:t>3</w:t>
            </w:r>
          </w:p>
        </w:tc>
        <w:tc>
          <w:tcPr>
            <w:tcW w:w="2726" w:type="dxa"/>
            <w:vAlign w:val="center"/>
          </w:tcPr>
          <w:p>
            <w:pPr>
              <w:spacing w:line="240" w:lineRule="exact"/>
              <w:jc w:val="left"/>
              <w:rPr>
                <w:rFonts w:ascii="宋体" w:hAnsi="宋体"/>
                <w:b/>
                <w:sz w:val="18"/>
                <w:szCs w:val="18"/>
              </w:rPr>
            </w:pPr>
            <w:r>
              <w:rPr>
                <w:rFonts w:hint="eastAsia" w:ascii="宋体" w:hAnsi="宋体"/>
                <w:sz w:val="18"/>
                <w:szCs w:val="18"/>
              </w:rPr>
              <w:t>水质分析</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72</w:t>
            </w:r>
          </w:p>
        </w:tc>
        <w:tc>
          <w:tcPr>
            <w:tcW w:w="818" w:type="dxa"/>
            <w:vAlign w:val="center"/>
          </w:tcPr>
          <w:p>
            <w:pPr>
              <w:jc w:val="center"/>
              <w:rPr>
                <w:color w:val="FF0000"/>
                <w:sz w:val="18"/>
                <w:szCs w:val="18"/>
              </w:rPr>
            </w:pPr>
          </w:p>
        </w:tc>
        <w:tc>
          <w:tcPr>
            <w:tcW w:w="688" w:type="dxa"/>
            <w:vAlign w:val="center"/>
          </w:tcPr>
          <w:p>
            <w:pPr>
              <w:jc w:val="center"/>
              <w:rPr>
                <w:color w:val="FF0000"/>
                <w:sz w:val="18"/>
                <w:szCs w:val="18"/>
              </w:rPr>
            </w:pPr>
          </w:p>
        </w:tc>
        <w:tc>
          <w:tcPr>
            <w:tcW w:w="729" w:type="dxa"/>
            <w:vAlign w:val="center"/>
          </w:tcPr>
          <w:p>
            <w:pPr>
              <w:jc w:val="center"/>
              <w:rPr>
                <w:color w:val="FF0000"/>
                <w:sz w:val="18"/>
                <w:szCs w:val="18"/>
              </w:rPr>
            </w:pPr>
          </w:p>
        </w:tc>
        <w:tc>
          <w:tcPr>
            <w:tcW w:w="738" w:type="dxa"/>
            <w:vAlign w:val="center"/>
          </w:tcPr>
          <w:p>
            <w:pPr>
              <w:spacing w:line="240" w:lineRule="exact"/>
              <w:jc w:val="center"/>
              <w:rPr>
                <w:color w:val="FF0000"/>
                <w:sz w:val="18"/>
                <w:szCs w:val="18"/>
              </w:rPr>
            </w:pPr>
            <w:r>
              <w:rPr>
                <w:rFonts w:hint="eastAsia" w:ascii="宋体" w:hAnsi="宋体" w:eastAsia="宋体" w:cs="宋体"/>
                <w:sz w:val="18"/>
                <w:szCs w:val="18"/>
              </w:rPr>
              <w:t>18 /4</w:t>
            </w:r>
          </w:p>
        </w:tc>
        <w:tc>
          <w:tcPr>
            <w:tcW w:w="838" w:type="dxa"/>
            <w:vAlign w:val="center"/>
          </w:tcPr>
          <w:p>
            <w:pPr>
              <w:jc w:val="center"/>
              <w:rPr>
                <w:color w:val="FF0000"/>
                <w:sz w:val="18"/>
                <w:szCs w:val="18"/>
              </w:rPr>
            </w:pPr>
          </w:p>
        </w:tc>
        <w:tc>
          <w:tcPr>
            <w:tcW w:w="701" w:type="dxa"/>
            <w:vAlign w:val="center"/>
          </w:tcPr>
          <w:p>
            <w:pPr>
              <w:jc w:val="center"/>
              <w:rPr>
                <w:color w:val="FF0000"/>
                <w:sz w:val="18"/>
                <w:szCs w:val="18"/>
              </w:rPr>
            </w:pPr>
          </w:p>
        </w:tc>
        <w:tc>
          <w:tcPr>
            <w:tcW w:w="700" w:type="dxa"/>
            <w:vAlign w:val="center"/>
          </w:tcPr>
          <w:p>
            <w:pPr>
              <w:spacing w:line="220" w:lineRule="exact"/>
              <w:jc w:val="center"/>
              <w:rPr>
                <w:color w:val="FF0000"/>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sz w:val="18"/>
                <w:szCs w:val="18"/>
              </w:rPr>
            </w:pPr>
            <w:r>
              <w:rPr>
                <w:rFonts w:hint="eastAsia"/>
                <w:sz w:val="18"/>
                <w:szCs w:val="18"/>
              </w:rPr>
              <w:t>4</w:t>
            </w:r>
          </w:p>
        </w:tc>
        <w:tc>
          <w:tcPr>
            <w:tcW w:w="2726" w:type="dxa"/>
            <w:vAlign w:val="center"/>
          </w:tcPr>
          <w:p>
            <w:pPr>
              <w:spacing w:line="240" w:lineRule="exact"/>
              <w:jc w:val="left"/>
              <w:rPr>
                <w:rFonts w:ascii="宋体" w:hAnsi="宋体"/>
                <w:sz w:val="18"/>
                <w:szCs w:val="18"/>
              </w:rPr>
            </w:pPr>
            <w:r>
              <w:rPr>
                <w:rFonts w:hint="eastAsia" w:ascii="宋体" w:hAnsi="宋体"/>
                <w:sz w:val="18"/>
                <w:szCs w:val="18"/>
              </w:rPr>
              <w:t>肥料分析</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108</w:t>
            </w:r>
          </w:p>
        </w:tc>
        <w:tc>
          <w:tcPr>
            <w:tcW w:w="818" w:type="dxa"/>
            <w:vAlign w:val="center"/>
          </w:tcPr>
          <w:p>
            <w:pPr>
              <w:jc w:val="center"/>
              <w:rPr>
                <w:color w:val="FF0000"/>
                <w:sz w:val="18"/>
                <w:szCs w:val="18"/>
              </w:rPr>
            </w:pPr>
          </w:p>
        </w:tc>
        <w:tc>
          <w:tcPr>
            <w:tcW w:w="688" w:type="dxa"/>
            <w:vAlign w:val="center"/>
          </w:tcPr>
          <w:p>
            <w:pPr>
              <w:jc w:val="center"/>
              <w:rPr>
                <w:color w:val="FF0000"/>
                <w:sz w:val="18"/>
                <w:szCs w:val="18"/>
              </w:rPr>
            </w:pPr>
          </w:p>
        </w:tc>
        <w:tc>
          <w:tcPr>
            <w:tcW w:w="729" w:type="dxa"/>
            <w:vAlign w:val="center"/>
          </w:tcPr>
          <w:p>
            <w:pPr>
              <w:jc w:val="center"/>
              <w:rPr>
                <w:color w:val="FF0000"/>
                <w:sz w:val="18"/>
                <w:szCs w:val="18"/>
              </w:rPr>
            </w:pPr>
          </w:p>
        </w:tc>
        <w:tc>
          <w:tcPr>
            <w:tcW w:w="738" w:type="dxa"/>
            <w:vAlign w:val="center"/>
          </w:tcPr>
          <w:p>
            <w:pPr>
              <w:spacing w:line="240" w:lineRule="exact"/>
              <w:jc w:val="center"/>
              <w:rPr>
                <w:color w:val="FF0000"/>
                <w:sz w:val="18"/>
                <w:szCs w:val="18"/>
              </w:rPr>
            </w:pPr>
            <w:r>
              <w:rPr>
                <w:rFonts w:hint="eastAsia" w:ascii="宋体" w:hAnsi="宋体" w:eastAsia="宋体" w:cs="宋体"/>
                <w:sz w:val="18"/>
                <w:szCs w:val="18"/>
              </w:rPr>
              <w:t>18 /6</w:t>
            </w:r>
          </w:p>
        </w:tc>
        <w:tc>
          <w:tcPr>
            <w:tcW w:w="838" w:type="dxa"/>
            <w:vAlign w:val="center"/>
          </w:tcPr>
          <w:p>
            <w:pPr>
              <w:jc w:val="center"/>
              <w:rPr>
                <w:color w:val="FF0000"/>
                <w:sz w:val="18"/>
                <w:szCs w:val="18"/>
              </w:rPr>
            </w:pPr>
          </w:p>
        </w:tc>
        <w:tc>
          <w:tcPr>
            <w:tcW w:w="701" w:type="dxa"/>
            <w:vAlign w:val="center"/>
          </w:tcPr>
          <w:p>
            <w:pPr>
              <w:jc w:val="center"/>
              <w:rPr>
                <w:color w:val="FF0000"/>
                <w:sz w:val="18"/>
                <w:szCs w:val="18"/>
              </w:rPr>
            </w:pPr>
          </w:p>
        </w:tc>
        <w:tc>
          <w:tcPr>
            <w:tcW w:w="700" w:type="dxa"/>
            <w:vAlign w:val="center"/>
          </w:tcPr>
          <w:p>
            <w:pPr>
              <w:spacing w:line="220" w:lineRule="exact"/>
              <w:jc w:val="center"/>
              <w:rPr>
                <w:color w:val="FF0000"/>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sz w:val="18"/>
                <w:szCs w:val="18"/>
              </w:rPr>
            </w:pPr>
            <w:r>
              <w:rPr>
                <w:rFonts w:hint="eastAsia"/>
                <w:sz w:val="18"/>
                <w:szCs w:val="18"/>
              </w:rPr>
              <w:t>5</w:t>
            </w:r>
          </w:p>
        </w:tc>
        <w:tc>
          <w:tcPr>
            <w:tcW w:w="2726" w:type="dxa"/>
            <w:vAlign w:val="center"/>
          </w:tcPr>
          <w:p>
            <w:pPr>
              <w:spacing w:line="240" w:lineRule="exact"/>
              <w:jc w:val="left"/>
              <w:rPr>
                <w:rFonts w:ascii="宋体" w:hAnsi="宋体"/>
                <w:sz w:val="18"/>
                <w:szCs w:val="18"/>
              </w:rPr>
            </w:pPr>
            <w:r>
              <w:rPr>
                <w:rFonts w:hint="eastAsia" w:ascii="宋体" w:hAnsi="宋体"/>
                <w:sz w:val="18"/>
                <w:szCs w:val="18"/>
              </w:rPr>
              <w:t>石油产品分析</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72</w:t>
            </w:r>
          </w:p>
        </w:tc>
        <w:tc>
          <w:tcPr>
            <w:tcW w:w="818" w:type="dxa"/>
            <w:vAlign w:val="center"/>
          </w:tcPr>
          <w:p>
            <w:pPr>
              <w:jc w:val="center"/>
              <w:rPr>
                <w:color w:val="FF0000"/>
                <w:sz w:val="18"/>
                <w:szCs w:val="18"/>
              </w:rPr>
            </w:pPr>
          </w:p>
        </w:tc>
        <w:tc>
          <w:tcPr>
            <w:tcW w:w="688" w:type="dxa"/>
            <w:vAlign w:val="center"/>
          </w:tcPr>
          <w:p>
            <w:pPr>
              <w:jc w:val="center"/>
              <w:rPr>
                <w:color w:val="FF0000"/>
                <w:sz w:val="18"/>
                <w:szCs w:val="18"/>
              </w:rPr>
            </w:pPr>
          </w:p>
        </w:tc>
        <w:tc>
          <w:tcPr>
            <w:tcW w:w="729" w:type="dxa"/>
            <w:vAlign w:val="center"/>
          </w:tcPr>
          <w:p>
            <w:pPr>
              <w:jc w:val="center"/>
              <w:rPr>
                <w:color w:val="FF0000"/>
                <w:sz w:val="18"/>
                <w:szCs w:val="18"/>
              </w:rPr>
            </w:pPr>
          </w:p>
        </w:tc>
        <w:tc>
          <w:tcPr>
            <w:tcW w:w="738" w:type="dxa"/>
            <w:vAlign w:val="center"/>
          </w:tcPr>
          <w:p>
            <w:pPr>
              <w:spacing w:line="240" w:lineRule="exact"/>
              <w:jc w:val="center"/>
              <w:rPr>
                <w:color w:val="FF0000"/>
                <w:sz w:val="18"/>
                <w:szCs w:val="18"/>
              </w:rPr>
            </w:pPr>
            <w:r>
              <w:rPr>
                <w:rFonts w:hint="eastAsia" w:ascii="宋体" w:hAnsi="宋体" w:eastAsia="宋体" w:cs="宋体"/>
                <w:sz w:val="18"/>
                <w:szCs w:val="18"/>
              </w:rPr>
              <w:t>18/ 4</w:t>
            </w:r>
          </w:p>
        </w:tc>
        <w:tc>
          <w:tcPr>
            <w:tcW w:w="838" w:type="dxa"/>
            <w:vAlign w:val="center"/>
          </w:tcPr>
          <w:p>
            <w:pPr>
              <w:jc w:val="center"/>
              <w:rPr>
                <w:color w:val="FF0000"/>
                <w:sz w:val="18"/>
                <w:szCs w:val="18"/>
              </w:rPr>
            </w:pPr>
          </w:p>
        </w:tc>
        <w:tc>
          <w:tcPr>
            <w:tcW w:w="701" w:type="dxa"/>
            <w:vAlign w:val="center"/>
          </w:tcPr>
          <w:p>
            <w:pPr>
              <w:jc w:val="center"/>
              <w:rPr>
                <w:color w:val="FF0000"/>
                <w:sz w:val="18"/>
                <w:szCs w:val="18"/>
              </w:rPr>
            </w:pPr>
          </w:p>
        </w:tc>
        <w:tc>
          <w:tcPr>
            <w:tcW w:w="700" w:type="dxa"/>
            <w:vAlign w:val="center"/>
          </w:tcPr>
          <w:p>
            <w:pPr>
              <w:spacing w:line="220" w:lineRule="exact"/>
              <w:jc w:val="center"/>
              <w:rPr>
                <w:color w:val="FF0000"/>
                <w:sz w:val="18"/>
                <w:szCs w:val="18"/>
              </w:rPr>
            </w:pPr>
            <w:r>
              <w:rPr>
                <w:rFonts w:hint="eastAsia"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sz w:val="18"/>
                <w:szCs w:val="18"/>
              </w:rPr>
            </w:pPr>
            <w:r>
              <w:rPr>
                <w:rFonts w:hint="eastAsia"/>
                <w:sz w:val="18"/>
                <w:szCs w:val="18"/>
              </w:rPr>
              <w:t>四</w:t>
            </w:r>
          </w:p>
        </w:tc>
        <w:tc>
          <w:tcPr>
            <w:tcW w:w="2726" w:type="dxa"/>
            <w:vAlign w:val="center"/>
          </w:tcPr>
          <w:p>
            <w:pPr>
              <w:spacing w:line="240" w:lineRule="exact"/>
              <w:jc w:val="center"/>
              <w:rPr>
                <w:rFonts w:ascii="宋体" w:hAnsi="宋体"/>
                <w:sz w:val="18"/>
                <w:szCs w:val="18"/>
              </w:rPr>
            </w:pPr>
            <w:r>
              <w:rPr>
                <w:rFonts w:hint="eastAsia" w:cs="宋体"/>
                <w:b/>
                <w:sz w:val="18"/>
                <w:szCs w:val="18"/>
              </w:rPr>
              <w:t>一体化课程</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504</w:t>
            </w:r>
          </w:p>
        </w:tc>
        <w:tc>
          <w:tcPr>
            <w:tcW w:w="818" w:type="dxa"/>
            <w:vAlign w:val="center"/>
          </w:tcPr>
          <w:p>
            <w:pPr>
              <w:jc w:val="center"/>
              <w:rPr>
                <w:color w:val="FF0000"/>
                <w:sz w:val="18"/>
                <w:szCs w:val="18"/>
              </w:rPr>
            </w:pPr>
          </w:p>
        </w:tc>
        <w:tc>
          <w:tcPr>
            <w:tcW w:w="688" w:type="dxa"/>
            <w:vAlign w:val="center"/>
          </w:tcPr>
          <w:p>
            <w:pPr>
              <w:jc w:val="center"/>
              <w:rPr>
                <w:color w:val="FF0000"/>
                <w:sz w:val="18"/>
                <w:szCs w:val="18"/>
              </w:rPr>
            </w:pPr>
          </w:p>
        </w:tc>
        <w:tc>
          <w:tcPr>
            <w:tcW w:w="729" w:type="dxa"/>
            <w:vAlign w:val="center"/>
          </w:tcPr>
          <w:p>
            <w:pPr>
              <w:jc w:val="center"/>
              <w:rPr>
                <w:color w:val="FF0000"/>
                <w:sz w:val="18"/>
                <w:szCs w:val="18"/>
              </w:rPr>
            </w:pPr>
          </w:p>
        </w:tc>
        <w:tc>
          <w:tcPr>
            <w:tcW w:w="738" w:type="dxa"/>
            <w:vAlign w:val="center"/>
          </w:tcPr>
          <w:p>
            <w:pPr>
              <w:spacing w:line="240" w:lineRule="exact"/>
              <w:jc w:val="center"/>
              <w:rPr>
                <w:color w:val="FF0000"/>
                <w:sz w:val="18"/>
                <w:szCs w:val="18"/>
              </w:rPr>
            </w:pPr>
          </w:p>
        </w:tc>
        <w:tc>
          <w:tcPr>
            <w:tcW w:w="838" w:type="dxa"/>
            <w:vAlign w:val="center"/>
          </w:tcPr>
          <w:p>
            <w:pPr>
              <w:jc w:val="center"/>
              <w:rPr>
                <w:color w:val="FF0000"/>
                <w:sz w:val="18"/>
                <w:szCs w:val="18"/>
              </w:rPr>
            </w:pPr>
          </w:p>
        </w:tc>
        <w:tc>
          <w:tcPr>
            <w:tcW w:w="701" w:type="dxa"/>
            <w:vAlign w:val="center"/>
          </w:tcPr>
          <w:p>
            <w:pPr>
              <w:jc w:val="center"/>
              <w:rPr>
                <w:color w:val="FF0000"/>
                <w:sz w:val="18"/>
                <w:szCs w:val="18"/>
              </w:rPr>
            </w:pPr>
          </w:p>
        </w:tc>
        <w:tc>
          <w:tcPr>
            <w:tcW w:w="700" w:type="dxa"/>
            <w:vAlign w:val="center"/>
          </w:tcPr>
          <w:p>
            <w:pPr>
              <w:spacing w:line="220" w:lineRule="exact"/>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sz w:val="18"/>
                <w:szCs w:val="18"/>
              </w:rPr>
            </w:pPr>
            <w:r>
              <w:rPr>
                <w:rFonts w:hint="eastAsia"/>
                <w:sz w:val="18"/>
                <w:szCs w:val="18"/>
              </w:rPr>
              <w:t>１</w:t>
            </w:r>
          </w:p>
        </w:tc>
        <w:tc>
          <w:tcPr>
            <w:tcW w:w="2726" w:type="dxa"/>
            <w:vAlign w:val="center"/>
          </w:tcPr>
          <w:p>
            <w:pPr>
              <w:spacing w:line="360" w:lineRule="auto"/>
              <w:jc w:val="left"/>
              <w:rPr>
                <w:rFonts w:ascii="宋体" w:hAnsi="宋体"/>
                <w:szCs w:val="21"/>
              </w:rPr>
            </w:pPr>
            <w:r>
              <w:rPr>
                <w:rFonts w:hint="eastAsia"/>
                <w:sz w:val="18"/>
                <w:szCs w:val="18"/>
              </w:rPr>
              <w:t>样品的滴定分析</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252</w:t>
            </w:r>
          </w:p>
        </w:tc>
        <w:tc>
          <w:tcPr>
            <w:tcW w:w="818" w:type="dxa"/>
            <w:vAlign w:val="center"/>
          </w:tcPr>
          <w:p>
            <w:pPr>
              <w:spacing w:line="360" w:lineRule="auto"/>
              <w:jc w:val="center"/>
              <w:rPr>
                <w:color w:val="FF0000"/>
                <w:sz w:val="18"/>
                <w:szCs w:val="18"/>
              </w:rPr>
            </w:pPr>
          </w:p>
        </w:tc>
        <w:tc>
          <w:tcPr>
            <w:tcW w:w="688" w:type="dxa"/>
            <w:vAlign w:val="center"/>
          </w:tcPr>
          <w:p>
            <w:pPr>
              <w:spacing w:line="360" w:lineRule="auto"/>
              <w:jc w:val="center"/>
              <w:rPr>
                <w:color w:val="FF0000"/>
                <w:sz w:val="18"/>
                <w:szCs w:val="18"/>
              </w:rPr>
            </w:pPr>
            <w:r>
              <w:rPr>
                <w:rFonts w:hint="eastAsia" w:ascii="宋体" w:hAnsi="宋体" w:eastAsia="宋体" w:cs="宋体"/>
                <w:sz w:val="18"/>
                <w:szCs w:val="18"/>
              </w:rPr>
              <w:t>14</w:t>
            </w:r>
          </w:p>
        </w:tc>
        <w:tc>
          <w:tcPr>
            <w:tcW w:w="729" w:type="dxa"/>
            <w:vAlign w:val="center"/>
          </w:tcPr>
          <w:p>
            <w:pPr>
              <w:spacing w:line="220" w:lineRule="exact"/>
              <w:jc w:val="center"/>
              <w:rPr>
                <w:color w:val="FF0000"/>
                <w:sz w:val="18"/>
                <w:szCs w:val="18"/>
              </w:rPr>
            </w:pPr>
          </w:p>
        </w:tc>
        <w:tc>
          <w:tcPr>
            <w:tcW w:w="738" w:type="dxa"/>
            <w:vAlign w:val="center"/>
          </w:tcPr>
          <w:p>
            <w:pPr>
              <w:spacing w:line="220" w:lineRule="exact"/>
              <w:jc w:val="center"/>
              <w:rPr>
                <w:color w:val="FF0000"/>
                <w:sz w:val="18"/>
                <w:szCs w:val="18"/>
              </w:rPr>
            </w:pPr>
          </w:p>
        </w:tc>
        <w:tc>
          <w:tcPr>
            <w:tcW w:w="838" w:type="dxa"/>
            <w:vAlign w:val="center"/>
          </w:tcPr>
          <w:p>
            <w:pPr>
              <w:spacing w:line="220" w:lineRule="exact"/>
              <w:jc w:val="center"/>
              <w:rPr>
                <w:color w:val="FF0000"/>
                <w:sz w:val="18"/>
                <w:szCs w:val="18"/>
              </w:rPr>
            </w:pPr>
          </w:p>
        </w:tc>
        <w:tc>
          <w:tcPr>
            <w:tcW w:w="701" w:type="dxa"/>
            <w:vAlign w:val="center"/>
          </w:tcPr>
          <w:p>
            <w:pPr>
              <w:spacing w:line="220" w:lineRule="exact"/>
              <w:jc w:val="center"/>
              <w:rPr>
                <w:color w:val="FF0000"/>
                <w:sz w:val="18"/>
                <w:szCs w:val="18"/>
              </w:rPr>
            </w:pPr>
          </w:p>
        </w:tc>
        <w:tc>
          <w:tcPr>
            <w:tcW w:w="700" w:type="dxa"/>
            <w:vAlign w:val="center"/>
          </w:tcPr>
          <w:p>
            <w:pPr>
              <w:spacing w:line="220" w:lineRule="exact"/>
              <w:jc w:val="center"/>
              <w:rPr>
                <w:sz w:val="18"/>
                <w:szCs w:val="18"/>
              </w:rPr>
            </w:pPr>
            <w:r>
              <w:rPr>
                <w:rFonts w:hint="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495" w:type="dxa"/>
            <w:vAlign w:val="center"/>
          </w:tcPr>
          <w:p>
            <w:pPr>
              <w:spacing w:line="220" w:lineRule="exact"/>
              <w:jc w:val="center"/>
              <w:rPr>
                <w:sz w:val="18"/>
                <w:szCs w:val="18"/>
              </w:rPr>
            </w:pPr>
            <w:r>
              <w:rPr>
                <w:rFonts w:hint="eastAsia"/>
                <w:sz w:val="18"/>
                <w:szCs w:val="18"/>
              </w:rPr>
              <w:t>２</w:t>
            </w:r>
          </w:p>
        </w:tc>
        <w:tc>
          <w:tcPr>
            <w:tcW w:w="2726" w:type="dxa"/>
            <w:vAlign w:val="center"/>
          </w:tcPr>
          <w:p>
            <w:pPr>
              <w:spacing w:line="360" w:lineRule="auto"/>
              <w:jc w:val="left"/>
              <w:rPr>
                <w:rFonts w:ascii="宋体" w:hAnsi="宋体"/>
                <w:b/>
                <w:szCs w:val="21"/>
              </w:rPr>
            </w:pPr>
            <w:r>
              <w:rPr>
                <w:rFonts w:hint="eastAsia"/>
                <w:sz w:val="18"/>
                <w:szCs w:val="18"/>
              </w:rPr>
              <w:t>样品的常规仪器分析</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252</w:t>
            </w:r>
          </w:p>
        </w:tc>
        <w:tc>
          <w:tcPr>
            <w:tcW w:w="818" w:type="dxa"/>
            <w:vAlign w:val="center"/>
          </w:tcPr>
          <w:p>
            <w:pPr>
              <w:spacing w:line="360" w:lineRule="auto"/>
              <w:jc w:val="center"/>
              <w:rPr>
                <w:color w:val="FF0000"/>
                <w:sz w:val="18"/>
                <w:szCs w:val="18"/>
              </w:rPr>
            </w:pPr>
          </w:p>
        </w:tc>
        <w:tc>
          <w:tcPr>
            <w:tcW w:w="688" w:type="dxa"/>
            <w:vAlign w:val="center"/>
          </w:tcPr>
          <w:p>
            <w:pPr>
              <w:spacing w:line="360" w:lineRule="auto"/>
              <w:jc w:val="center"/>
              <w:rPr>
                <w:color w:val="FF0000"/>
                <w:sz w:val="18"/>
                <w:szCs w:val="18"/>
              </w:rPr>
            </w:pPr>
          </w:p>
        </w:tc>
        <w:tc>
          <w:tcPr>
            <w:tcW w:w="729" w:type="dxa"/>
            <w:vAlign w:val="center"/>
          </w:tcPr>
          <w:p>
            <w:pPr>
              <w:spacing w:line="360" w:lineRule="auto"/>
              <w:jc w:val="center"/>
              <w:rPr>
                <w:color w:val="FF0000"/>
                <w:sz w:val="18"/>
                <w:szCs w:val="18"/>
              </w:rPr>
            </w:pPr>
            <w:r>
              <w:rPr>
                <w:rFonts w:hint="eastAsia" w:ascii="宋体" w:hAnsi="宋体" w:eastAsia="宋体" w:cs="宋体"/>
                <w:sz w:val="18"/>
                <w:szCs w:val="18"/>
              </w:rPr>
              <w:t>14</w:t>
            </w:r>
          </w:p>
        </w:tc>
        <w:tc>
          <w:tcPr>
            <w:tcW w:w="738" w:type="dxa"/>
            <w:vAlign w:val="center"/>
          </w:tcPr>
          <w:p>
            <w:pPr>
              <w:spacing w:line="220" w:lineRule="exact"/>
              <w:jc w:val="center"/>
              <w:rPr>
                <w:color w:val="FF0000"/>
                <w:sz w:val="18"/>
                <w:szCs w:val="18"/>
              </w:rPr>
            </w:pPr>
          </w:p>
        </w:tc>
        <w:tc>
          <w:tcPr>
            <w:tcW w:w="838" w:type="dxa"/>
            <w:vAlign w:val="center"/>
          </w:tcPr>
          <w:p>
            <w:pPr>
              <w:spacing w:line="220" w:lineRule="exact"/>
              <w:jc w:val="center"/>
              <w:rPr>
                <w:color w:val="FF0000"/>
                <w:sz w:val="18"/>
                <w:szCs w:val="18"/>
              </w:rPr>
            </w:pPr>
          </w:p>
        </w:tc>
        <w:tc>
          <w:tcPr>
            <w:tcW w:w="701" w:type="dxa"/>
            <w:vAlign w:val="center"/>
          </w:tcPr>
          <w:p>
            <w:pPr>
              <w:spacing w:line="220" w:lineRule="exact"/>
              <w:jc w:val="center"/>
              <w:rPr>
                <w:color w:val="FF0000"/>
                <w:sz w:val="18"/>
                <w:szCs w:val="18"/>
              </w:rPr>
            </w:pPr>
          </w:p>
        </w:tc>
        <w:tc>
          <w:tcPr>
            <w:tcW w:w="700" w:type="dxa"/>
            <w:vAlign w:val="center"/>
          </w:tcPr>
          <w:p>
            <w:pPr>
              <w:spacing w:line="220" w:lineRule="exact"/>
              <w:jc w:val="center"/>
              <w:rPr>
                <w:sz w:val="18"/>
                <w:szCs w:val="18"/>
              </w:rPr>
            </w:pPr>
            <w:r>
              <w:rPr>
                <w:rFonts w:hint="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sz w:val="18"/>
                <w:szCs w:val="18"/>
              </w:rPr>
            </w:pPr>
            <w:r>
              <w:rPr>
                <w:rFonts w:hint="eastAsia"/>
                <w:sz w:val="18"/>
                <w:szCs w:val="18"/>
              </w:rPr>
              <w:t>五</w:t>
            </w:r>
          </w:p>
        </w:tc>
        <w:tc>
          <w:tcPr>
            <w:tcW w:w="2726" w:type="dxa"/>
            <w:vAlign w:val="center"/>
          </w:tcPr>
          <w:p>
            <w:pPr>
              <w:spacing w:line="220" w:lineRule="exact"/>
              <w:jc w:val="center"/>
              <w:rPr>
                <w:rFonts w:cs="宋体"/>
                <w:sz w:val="18"/>
                <w:szCs w:val="18"/>
              </w:rPr>
            </w:pPr>
            <w:r>
              <w:rPr>
                <w:rFonts w:hint="eastAsia" w:cs="宋体"/>
                <w:b/>
                <w:sz w:val="18"/>
                <w:szCs w:val="18"/>
              </w:rPr>
              <w:t>综合</w:t>
            </w:r>
            <w:r>
              <w:rPr>
                <w:rFonts w:cs="宋体"/>
                <w:b/>
                <w:sz w:val="18"/>
                <w:szCs w:val="18"/>
              </w:rPr>
              <w:t>技能训练及考证</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72</w:t>
            </w:r>
          </w:p>
        </w:tc>
        <w:tc>
          <w:tcPr>
            <w:tcW w:w="818" w:type="dxa"/>
            <w:vAlign w:val="center"/>
          </w:tcPr>
          <w:p>
            <w:pPr>
              <w:spacing w:line="220" w:lineRule="exact"/>
              <w:jc w:val="center"/>
              <w:rPr>
                <w:color w:val="FF0000"/>
                <w:sz w:val="18"/>
                <w:szCs w:val="18"/>
              </w:rPr>
            </w:pPr>
          </w:p>
        </w:tc>
        <w:tc>
          <w:tcPr>
            <w:tcW w:w="688" w:type="dxa"/>
            <w:vAlign w:val="center"/>
          </w:tcPr>
          <w:p>
            <w:pPr>
              <w:spacing w:line="220" w:lineRule="exact"/>
              <w:jc w:val="center"/>
              <w:rPr>
                <w:color w:val="FF0000"/>
                <w:sz w:val="18"/>
                <w:szCs w:val="18"/>
              </w:rPr>
            </w:pPr>
          </w:p>
        </w:tc>
        <w:tc>
          <w:tcPr>
            <w:tcW w:w="729" w:type="dxa"/>
            <w:vAlign w:val="center"/>
          </w:tcPr>
          <w:p>
            <w:pPr>
              <w:spacing w:line="220" w:lineRule="exact"/>
              <w:jc w:val="center"/>
              <w:rPr>
                <w:color w:val="FF0000"/>
                <w:sz w:val="18"/>
                <w:szCs w:val="18"/>
              </w:rPr>
            </w:pPr>
          </w:p>
        </w:tc>
        <w:tc>
          <w:tcPr>
            <w:tcW w:w="738" w:type="dxa"/>
            <w:vAlign w:val="center"/>
          </w:tcPr>
          <w:p>
            <w:pPr>
              <w:spacing w:line="220" w:lineRule="exact"/>
              <w:jc w:val="center"/>
              <w:rPr>
                <w:color w:val="FF0000"/>
                <w:sz w:val="18"/>
                <w:szCs w:val="18"/>
              </w:rPr>
            </w:pPr>
          </w:p>
        </w:tc>
        <w:tc>
          <w:tcPr>
            <w:tcW w:w="838" w:type="dxa"/>
            <w:vAlign w:val="center"/>
          </w:tcPr>
          <w:p>
            <w:pPr>
              <w:spacing w:line="220" w:lineRule="exact"/>
              <w:jc w:val="center"/>
              <w:rPr>
                <w:color w:val="FF0000"/>
                <w:sz w:val="18"/>
                <w:szCs w:val="18"/>
              </w:rPr>
            </w:pPr>
          </w:p>
        </w:tc>
        <w:tc>
          <w:tcPr>
            <w:tcW w:w="701" w:type="dxa"/>
            <w:vAlign w:val="center"/>
          </w:tcPr>
          <w:p>
            <w:pPr>
              <w:spacing w:line="220" w:lineRule="exact"/>
              <w:jc w:val="center"/>
              <w:rPr>
                <w:color w:val="FF0000"/>
                <w:sz w:val="18"/>
                <w:szCs w:val="18"/>
              </w:rPr>
            </w:pPr>
          </w:p>
        </w:tc>
        <w:tc>
          <w:tcPr>
            <w:tcW w:w="700" w:type="dxa"/>
            <w:vAlign w:val="center"/>
          </w:tcPr>
          <w:p>
            <w:pPr>
              <w:spacing w:line="22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sz w:val="18"/>
                <w:szCs w:val="18"/>
              </w:rPr>
            </w:pPr>
            <w:r>
              <w:rPr>
                <w:rFonts w:hint="eastAsia"/>
                <w:sz w:val="18"/>
                <w:szCs w:val="18"/>
              </w:rPr>
              <w:t>１</w:t>
            </w:r>
          </w:p>
        </w:tc>
        <w:tc>
          <w:tcPr>
            <w:tcW w:w="2726" w:type="dxa"/>
            <w:vAlign w:val="center"/>
          </w:tcPr>
          <w:p>
            <w:pPr>
              <w:spacing w:line="220" w:lineRule="exact"/>
              <w:jc w:val="left"/>
              <w:rPr>
                <w:rFonts w:cs="宋体"/>
                <w:sz w:val="18"/>
                <w:szCs w:val="18"/>
              </w:rPr>
            </w:pPr>
            <w:r>
              <w:rPr>
                <w:rFonts w:hint="eastAsia" w:ascii="宋体" w:hAnsi="宋体"/>
                <w:sz w:val="18"/>
                <w:szCs w:val="18"/>
              </w:rPr>
              <w:t>中级工考证训练</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72</w:t>
            </w:r>
          </w:p>
        </w:tc>
        <w:tc>
          <w:tcPr>
            <w:tcW w:w="818" w:type="dxa"/>
            <w:vAlign w:val="center"/>
          </w:tcPr>
          <w:p>
            <w:pPr>
              <w:spacing w:line="220" w:lineRule="exact"/>
              <w:jc w:val="center"/>
              <w:rPr>
                <w:color w:val="FF0000"/>
                <w:sz w:val="18"/>
                <w:szCs w:val="18"/>
              </w:rPr>
            </w:pPr>
          </w:p>
        </w:tc>
        <w:tc>
          <w:tcPr>
            <w:tcW w:w="688" w:type="dxa"/>
            <w:vAlign w:val="center"/>
          </w:tcPr>
          <w:p>
            <w:pPr>
              <w:spacing w:line="220" w:lineRule="exact"/>
              <w:jc w:val="center"/>
              <w:rPr>
                <w:color w:val="FF0000"/>
                <w:sz w:val="18"/>
                <w:szCs w:val="18"/>
              </w:rPr>
            </w:pPr>
          </w:p>
        </w:tc>
        <w:tc>
          <w:tcPr>
            <w:tcW w:w="729" w:type="dxa"/>
            <w:vAlign w:val="center"/>
          </w:tcPr>
          <w:p>
            <w:pPr>
              <w:spacing w:line="220" w:lineRule="exact"/>
              <w:jc w:val="center"/>
              <w:rPr>
                <w:color w:val="FF0000"/>
                <w:sz w:val="18"/>
                <w:szCs w:val="18"/>
              </w:rPr>
            </w:pPr>
          </w:p>
        </w:tc>
        <w:tc>
          <w:tcPr>
            <w:tcW w:w="738" w:type="dxa"/>
            <w:vAlign w:val="center"/>
          </w:tcPr>
          <w:p>
            <w:pPr>
              <w:spacing w:line="220" w:lineRule="exact"/>
              <w:jc w:val="center"/>
              <w:rPr>
                <w:color w:val="FF0000"/>
                <w:sz w:val="18"/>
                <w:szCs w:val="18"/>
              </w:rPr>
            </w:pPr>
            <w:r>
              <w:rPr>
                <w:rFonts w:hint="eastAsia" w:ascii="宋体" w:hAnsi="宋体" w:eastAsia="宋体" w:cs="宋体"/>
                <w:sz w:val="18"/>
                <w:szCs w:val="18"/>
              </w:rPr>
              <w:t>18/4</w:t>
            </w:r>
          </w:p>
        </w:tc>
        <w:tc>
          <w:tcPr>
            <w:tcW w:w="838" w:type="dxa"/>
            <w:vAlign w:val="center"/>
          </w:tcPr>
          <w:p>
            <w:pPr>
              <w:spacing w:line="220" w:lineRule="exact"/>
              <w:jc w:val="center"/>
              <w:rPr>
                <w:color w:val="FF0000"/>
                <w:sz w:val="18"/>
                <w:szCs w:val="18"/>
              </w:rPr>
            </w:pPr>
          </w:p>
        </w:tc>
        <w:tc>
          <w:tcPr>
            <w:tcW w:w="701" w:type="dxa"/>
            <w:vAlign w:val="center"/>
          </w:tcPr>
          <w:p>
            <w:pPr>
              <w:spacing w:line="220" w:lineRule="exact"/>
              <w:jc w:val="center"/>
              <w:rPr>
                <w:color w:val="FF0000"/>
                <w:sz w:val="18"/>
                <w:szCs w:val="18"/>
              </w:rPr>
            </w:pPr>
          </w:p>
        </w:tc>
        <w:tc>
          <w:tcPr>
            <w:tcW w:w="700" w:type="dxa"/>
            <w:vAlign w:val="center"/>
          </w:tcPr>
          <w:p>
            <w:pPr>
              <w:spacing w:line="220" w:lineRule="exact"/>
              <w:jc w:val="center"/>
              <w:rPr>
                <w:sz w:val="18"/>
                <w:szCs w:val="18"/>
              </w:rPr>
            </w:pPr>
            <w:r>
              <w:rPr>
                <w:rFonts w:hint="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sz w:val="18"/>
                <w:szCs w:val="18"/>
              </w:rPr>
            </w:pPr>
            <w:r>
              <w:rPr>
                <w:rFonts w:hint="eastAsia"/>
                <w:sz w:val="18"/>
                <w:szCs w:val="18"/>
              </w:rPr>
              <w:t>六</w:t>
            </w:r>
          </w:p>
        </w:tc>
        <w:tc>
          <w:tcPr>
            <w:tcW w:w="2726" w:type="dxa"/>
            <w:vAlign w:val="center"/>
          </w:tcPr>
          <w:p>
            <w:pPr>
              <w:spacing w:line="220" w:lineRule="exact"/>
              <w:jc w:val="center"/>
              <w:rPr>
                <w:rFonts w:cs="宋体"/>
                <w:sz w:val="18"/>
                <w:szCs w:val="18"/>
              </w:rPr>
            </w:pPr>
            <w:r>
              <w:rPr>
                <w:rFonts w:hint="eastAsia" w:cs="宋体"/>
                <w:b/>
                <w:sz w:val="18"/>
                <w:szCs w:val="18"/>
              </w:rPr>
              <w:t>校</w:t>
            </w:r>
            <w:r>
              <w:rPr>
                <w:rFonts w:cs="宋体"/>
                <w:b/>
                <w:sz w:val="18"/>
                <w:szCs w:val="18"/>
              </w:rPr>
              <w:t>外实习</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570</w:t>
            </w:r>
          </w:p>
        </w:tc>
        <w:tc>
          <w:tcPr>
            <w:tcW w:w="818" w:type="dxa"/>
            <w:vAlign w:val="center"/>
          </w:tcPr>
          <w:p>
            <w:pPr>
              <w:spacing w:line="220" w:lineRule="exact"/>
              <w:jc w:val="center"/>
              <w:rPr>
                <w:color w:val="FF0000"/>
                <w:sz w:val="18"/>
                <w:szCs w:val="18"/>
              </w:rPr>
            </w:pPr>
          </w:p>
        </w:tc>
        <w:tc>
          <w:tcPr>
            <w:tcW w:w="688" w:type="dxa"/>
            <w:vAlign w:val="center"/>
          </w:tcPr>
          <w:p>
            <w:pPr>
              <w:spacing w:line="220" w:lineRule="exact"/>
              <w:jc w:val="center"/>
              <w:rPr>
                <w:color w:val="FF0000"/>
                <w:sz w:val="18"/>
                <w:szCs w:val="18"/>
              </w:rPr>
            </w:pPr>
          </w:p>
        </w:tc>
        <w:tc>
          <w:tcPr>
            <w:tcW w:w="729" w:type="dxa"/>
            <w:vAlign w:val="center"/>
          </w:tcPr>
          <w:p>
            <w:pPr>
              <w:spacing w:line="220" w:lineRule="exact"/>
              <w:jc w:val="center"/>
              <w:rPr>
                <w:color w:val="FF0000"/>
                <w:sz w:val="18"/>
                <w:szCs w:val="18"/>
              </w:rPr>
            </w:pPr>
          </w:p>
        </w:tc>
        <w:tc>
          <w:tcPr>
            <w:tcW w:w="738" w:type="dxa"/>
            <w:vAlign w:val="center"/>
          </w:tcPr>
          <w:p>
            <w:pPr>
              <w:spacing w:line="220" w:lineRule="exact"/>
              <w:jc w:val="center"/>
              <w:rPr>
                <w:color w:val="FF0000"/>
                <w:sz w:val="18"/>
                <w:szCs w:val="18"/>
              </w:rPr>
            </w:pPr>
          </w:p>
        </w:tc>
        <w:tc>
          <w:tcPr>
            <w:tcW w:w="838" w:type="dxa"/>
            <w:vAlign w:val="center"/>
          </w:tcPr>
          <w:p>
            <w:pPr>
              <w:spacing w:line="220" w:lineRule="exact"/>
              <w:jc w:val="center"/>
              <w:rPr>
                <w:color w:val="FF0000"/>
                <w:sz w:val="18"/>
                <w:szCs w:val="18"/>
              </w:rPr>
            </w:pPr>
          </w:p>
        </w:tc>
        <w:tc>
          <w:tcPr>
            <w:tcW w:w="701" w:type="dxa"/>
            <w:vAlign w:val="center"/>
          </w:tcPr>
          <w:p>
            <w:pPr>
              <w:spacing w:line="220" w:lineRule="exact"/>
              <w:jc w:val="center"/>
              <w:rPr>
                <w:color w:val="FF0000"/>
                <w:sz w:val="18"/>
                <w:szCs w:val="18"/>
              </w:rPr>
            </w:pPr>
          </w:p>
        </w:tc>
        <w:tc>
          <w:tcPr>
            <w:tcW w:w="700" w:type="dxa"/>
            <w:vAlign w:val="center"/>
          </w:tcPr>
          <w:p>
            <w:pPr>
              <w:spacing w:line="220" w:lineRule="exact"/>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sz w:val="18"/>
                <w:szCs w:val="18"/>
              </w:rPr>
            </w:pPr>
            <w:r>
              <w:rPr>
                <w:rFonts w:hint="eastAsia"/>
                <w:sz w:val="18"/>
                <w:szCs w:val="18"/>
              </w:rPr>
              <w:t>1</w:t>
            </w:r>
          </w:p>
        </w:tc>
        <w:tc>
          <w:tcPr>
            <w:tcW w:w="2726" w:type="dxa"/>
            <w:vAlign w:val="center"/>
          </w:tcPr>
          <w:p>
            <w:pPr>
              <w:spacing w:line="220" w:lineRule="exact"/>
              <w:jc w:val="left"/>
              <w:rPr>
                <w:rFonts w:ascii="宋体" w:hAnsi="宋体"/>
                <w:sz w:val="18"/>
                <w:szCs w:val="18"/>
              </w:rPr>
            </w:pPr>
            <w:r>
              <w:rPr>
                <w:rFonts w:hint="eastAsia" w:ascii="宋体" w:hAnsi="宋体"/>
                <w:sz w:val="18"/>
                <w:szCs w:val="18"/>
              </w:rPr>
              <w:t>跟岗实习</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30</w:t>
            </w:r>
          </w:p>
        </w:tc>
        <w:tc>
          <w:tcPr>
            <w:tcW w:w="818" w:type="dxa"/>
            <w:vAlign w:val="center"/>
          </w:tcPr>
          <w:p>
            <w:pPr>
              <w:spacing w:line="220" w:lineRule="exact"/>
              <w:jc w:val="center"/>
              <w:rPr>
                <w:color w:val="FF0000"/>
                <w:sz w:val="18"/>
                <w:szCs w:val="18"/>
              </w:rPr>
            </w:pPr>
          </w:p>
        </w:tc>
        <w:tc>
          <w:tcPr>
            <w:tcW w:w="688" w:type="dxa"/>
            <w:vAlign w:val="center"/>
          </w:tcPr>
          <w:p>
            <w:pPr>
              <w:spacing w:line="220" w:lineRule="exact"/>
              <w:jc w:val="center"/>
              <w:rPr>
                <w:color w:val="FF0000"/>
                <w:sz w:val="18"/>
                <w:szCs w:val="18"/>
              </w:rPr>
            </w:pPr>
          </w:p>
        </w:tc>
        <w:tc>
          <w:tcPr>
            <w:tcW w:w="729" w:type="dxa"/>
            <w:vAlign w:val="center"/>
          </w:tcPr>
          <w:p>
            <w:pPr>
              <w:spacing w:line="220" w:lineRule="exact"/>
              <w:jc w:val="center"/>
              <w:rPr>
                <w:color w:val="FF0000"/>
                <w:sz w:val="18"/>
                <w:szCs w:val="18"/>
              </w:rPr>
            </w:pPr>
          </w:p>
        </w:tc>
        <w:tc>
          <w:tcPr>
            <w:tcW w:w="738" w:type="dxa"/>
            <w:vAlign w:val="center"/>
          </w:tcPr>
          <w:p>
            <w:pPr>
              <w:spacing w:line="220" w:lineRule="exact"/>
              <w:jc w:val="center"/>
              <w:rPr>
                <w:color w:val="FF0000"/>
                <w:sz w:val="18"/>
                <w:szCs w:val="18"/>
              </w:rPr>
            </w:pPr>
          </w:p>
        </w:tc>
        <w:tc>
          <w:tcPr>
            <w:tcW w:w="838" w:type="dxa"/>
            <w:vAlign w:val="center"/>
          </w:tcPr>
          <w:p>
            <w:pPr>
              <w:spacing w:line="220" w:lineRule="exact"/>
              <w:jc w:val="center"/>
              <w:rPr>
                <w:color w:val="FF0000"/>
                <w:sz w:val="18"/>
                <w:szCs w:val="18"/>
              </w:rPr>
            </w:pPr>
            <w:r>
              <w:rPr>
                <w:rFonts w:hint="eastAsia"/>
                <w:color w:val="000000" w:themeColor="text1"/>
                <w:sz w:val="18"/>
                <w:szCs w:val="18"/>
                <w14:textFill>
                  <w14:solidFill>
                    <w14:schemeClr w14:val="tx1"/>
                  </w14:solidFill>
                </w14:textFill>
              </w:rPr>
              <w:t>30</w:t>
            </w:r>
          </w:p>
        </w:tc>
        <w:tc>
          <w:tcPr>
            <w:tcW w:w="701" w:type="dxa"/>
            <w:vAlign w:val="center"/>
          </w:tcPr>
          <w:p>
            <w:pPr>
              <w:spacing w:line="220" w:lineRule="exact"/>
              <w:jc w:val="center"/>
              <w:rPr>
                <w:color w:val="000000" w:themeColor="text1"/>
                <w:sz w:val="18"/>
                <w:szCs w:val="18"/>
                <w14:textFill>
                  <w14:solidFill>
                    <w14:schemeClr w14:val="tx1"/>
                  </w14:solidFill>
                </w14:textFill>
              </w:rPr>
            </w:pPr>
          </w:p>
        </w:tc>
        <w:tc>
          <w:tcPr>
            <w:tcW w:w="700" w:type="dxa"/>
            <w:vAlign w:val="center"/>
          </w:tcPr>
          <w:p>
            <w:pPr>
              <w:spacing w:line="220" w:lineRule="exact"/>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495" w:type="dxa"/>
            <w:vAlign w:val="center"/>
          </w:tcPr>
          <w:p>
            <w:pPr>
              <w:spacing w:line="220" w:lineRule="exact"/>
              <w:jc w:val="center"/>
              <w:rPr>
                <w:sz w:val="18"/>
                <w:szCs w:val="18"/>
              </w:rPr>
            </w:pPr>
            <w:r>
              <w:rPr>
                <w:rFonts w:hint="eastAsia"/>
                <w:sz w:val="18"/>
                <w:szCs w:val="18"/>
              </w:rPr>
              <w:t>2</w:t>
            </w:r>
          </w:p>
        </w:tc>
        <w:tc>
          <w:tcPr>
            <w:tcW w:w="2726" w:type="dxa"/>
            <w:vAlign w:val="center"/>
          </w:tcPr>
          <w:p>
            <w:pPr>
              <w:spacing w:line="220" w:lineRule="exact"/>
              <w:jc w:val="left"/>
              <w:rPr>
                <w:rFonts w:cs="宋体"/>
                <w:sz w:val="18"/>
                <w:szCs w:val="18"/>
              </w:rPr>
            </w:pPr>
            <w:r>
              <w:rPr>
                <w:rFonts w:hint="eastAsia" w:ascii="宋体" w:hAnsi="宋体"/>
                <w:sz w:val="18"/>
                <w:szCs w:val="18"/>
              </w:rPr>
              <w:t>顶岗实习</w:t>
            </w:r>
          </w:p>
        </w:tc>
        <w:tc>
          <w:tcPr>
            <w:tcW w:w="688"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540</w:t>
            </w:r>
          </w:p>
        </w:tc>
        <w:tc>
          <w:tcPr>
            <w:tcW w:w="818" w:type="dxa"/>
            <w:vAlign w:val="center"/>
          </w:tcPr>
          <w:p>
            <w:pPr>
              <w:spacing w:line="220" w:lineRule="exact"/>
              <w:jc w:val="center"/>
              <w:rPr>
                <w:color w:val="FF0000"/>
                <w:sz w:val="18"/>
                <w:szCs w:val="18"/>
              </w:rPr>
            </w:pPr>
          </w:p>
        </w:tc>
        <w:tc>
          <w:tcPr>
            <w:tcW w:w="688" w:type="dxa"/>
            <w:vAlign w:val="center"/>
          </w:tcPr>
          <w:p>
            <w:pPr>
              <w:spacing w:line="220" w:lineRule="exact"/>
              <w:jc w:val="center"/>
              <w:rPr>
                <w:color w:val="FF0000"/>
                <w:sz w:val="18"/>
                <w:szCs w:val="18"/>
              </w:rPr>
            </w:pPr>
          </w:p>
        </w:tc>
        <w:tc>
          <w:tcPr>
            <w:tcW w:w="729" w:type="dxa"/>
            <w:vAlign w:val="center"/>
          </w:tcPr>
          <w:p>
            <w:pPr>
              <w:spacing w:line="220" w:lineRule="exact"/>
              <w:jc w:val="center"/>
              <w:rPr>
                <w:color w:val="FF0000"/>
                <w:sz w:val="18"/>
                <w:szCs w:val="18"/>
              </w:rPr>
            </w:pPr>
          </w:p>
        </w:tc>
        <w:tc>
          <w:tcPr>
            <w:tcW w:w="738" w:type="dxa"/>
            <w:vAlign w:val="center"/>
          </w:tcPr>
          <w:p>
            <w:pPr>
              <w:spacing w:line="220" w:lineRule="exact"/>
              <w:jc w:val="center"/>
              <w:rPr>
                <w:color w:val="FF0000"/>
                <w:sz w:val="18"/>
                <w:szCs w:val="18"/>
              </w:rPr>
            </w:pPr>
          </w:p>
        </w:tc>
        <w:tc>
          <w:tcPr>
            <w:tcW w:w="838" w:type="dxa"/>
            <w:vAlign w:val="center"/>
          </w:tcPr>
          <w:p>
            <w:pPr>
              <w:spacing w:line="220" w:lineRule="exact"/>
              <w:jc w:val="center"/>
              <w:rPr>
                <w:color w:val="FF0000"/>
                <w:sz w:val="18"/>
                <w:szCs w:val="18"/>
              </w:rPr>
            </w:pPr>
          </w:p>
        </w:tc>
        <w:tc>
          <w:tcPr>
            <w:tcW w:w="701" w:type="dxa"/>
            <w:vAlign w:val="center"/>
          </w:tcPr>
          <w:p>
            <w:pPr>
              <w:spacing w:line="220" w:lineRule="exact"/>
              <w:jc w:val="center"/>
              <w:rPr>
                <w:color w:val="FF0000"/>
                <w:sz w:val="18"/>
                <w:szCs w:val="18"/>
              </w:rPr>
            </w:pPr>
            <w:r>
              <w:rPr>
                <w:rFonts w:hint="eastAsia"/>
                <w:color w:val="000000" w:themeColor="text1"/>
                <w:sz w:val="18"/>
                <w:szCs w:val="18"/>
                <w14:textFill>
                  <w14:solidFill>
                    <w14:schemeClr w14:val="tx1"/>
                  </w14:solidFill>
                </w14:textFill>
              </w:rPr>
              <w:t>540</w:t>
            </w:r>
          </w:p>
        </w:tc>
        <w:tc>
          <w:tcPr>
            <w:tcW w:w="700" w:type="dxa"/>
            <w:vAlign w:val="center"/>
          </w:tcPr>
          <w:p>
            <w:pPr>
              <w:spacing w:line="220" w:lineRule="exact"/>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3221" w:type="dxa"/>
            <w:gridSpan w:val="2"/>
            <w:vAlign w:val="center"/>
          </w:tcPr>
          <w:p>
            <w:pPr>
              <w:spacing w:line="220" w:lineRule="exact"/>
              <w:jc w:val="center"/>
              <w:rPr>
                <w:b/>
                <w:sz w:val="18"/>
                <w:szCs w:val="18"/>
              </w:rPr>
            </w:pPr>
            <w:r>
              <w:rPr>
                <w:rFonts w:hint="eastAsia"/>
                <w:b/>
                <w:sz w:val="18"/>
                <w:szCs w:val="18"/>
              </w:rPr>
              <w:t>周课</w:t>
            </w:r>
            <w:r>
              <w:rPr>
                <w:b/>
                <w:sz w:val="18"/>
                <w:szCs w:val="18"/>
              </w:rPr>
              <w:t>时数</w:t>
            </w:r>
          </w:p>
        </w:tc>
        <w:tc>
          <w:tcPr>
            <w:tcW w:w="688" w:type="dxa"/>
            <w:vAlign w:val="center"/>
          </w:tcPr>
          <w:p>
            <w:pPr>
              <w:spacing w:line="240" w:lineRule="exact"/>
              <w:jc w:val="center"/>
              <w:rPr>
                <w:rFonts w:ascii="宋体" w:hAnsi="宋体" w:eastAsia="宋体" w:cs="宋体"/>
                <w:sz w:val="18"/>
                <w:szCs w:val="18"/>
              </w:rPr>
            </w:pPr>
          </w:p>
        </w:tc>
        <w:tc>
          <w:tcPr>
            <w:tcW w:w="818" w:type="dxa"/>
            <w:vAlign w:val="center"/>
          </w:tcPr>
          <w:p>
            <w:pPr>
              <w:spacing w:line="220" w:lineRule="exact"/>
              <w:jc w:val="center"/>
              <w:rPr>
                <w:sz w:val="18"/>
                <w:szCs w:val="18"/>
              </w:rPr>
            </w:pPr>
          </w:p>
        </w:tc>
        <w:tc>
          <w:tcPr>
            <w:tcW w:w="688" w:type="dxa"/>
            <w:vAlign w:val="center"/>
          </w:tcPr>
          <w:p>
            <w:pPr>
              <w:spacing w:line="220" w:lineRule="exact"/>
              <w:jc w:val="center"/>
              <w:rPr>
                <w:color w:val="0000FF"/>
                <w:sz w:val="18"/>
                <w:szCs w:val="18"/>
              </w:rPr>
            </w:pPr>
          </w:p>
        </w:tc>
        <w:tc>
          <w:tcPr>
            <w:tcW w:w="729" w:type="dxa"/>
            <w:vAlign w:val="center"/>
          </w:tcPr>
          <w:p>
            <w:pPr>
              <w:spacing w:line="220" w:lineRule="exact"/>
              <w:jc w:val="center"/>
              <w:rPr>
                <w:color w:val="0000FF"/>
                <w:sz w:val="18"/>
                <w:szCs w:val="18"/>
              </w:rPr>
            </w:pPr>
          </w:p>
        </w:tc>
        <w:tc>
          <w:tcPr>
            <w:tcW w:w="738" w:type="dxa"/>
            <w:vAlign w:val="center"/>
          </w:tcPr>
          <w:p>
            <w:pPr>
              <w:spacing w:line="220" w:lineRule="exact"/>
              <w:jc w:val="center"/>
              <w:rPr>
                <w:color w:val="0000FF"/>
                <w:sz w:val="18"/>
                <w:szCs w:val="18"/>
              </w:rPr>
            </w:pPr>
          </w:p>
        </w:tc>
        <w:tc>
          <w:tcPr>
            <w:tcW w:w="838" w:type="dxa"/>
            <w:vAlign w:val="center"/>
          </w:tcPr>
          <w:p>
            <w:pPr>
              <w:spacing w:line="220" w:lineRule="exact"/>
              <w:jc w:val="center"/>
              <w:rPr>
                <w:sz w:val="18"/>
                <w:szCs w:val="18"/>
              </w:rPr>
            </w:pPr>
          </w:p>
        </w:tc>
        <w:tc>
          <w:tcPr>
            <w:tcW w:w="701" w:type="dxa"/>
            <w:vAlign w:val="center"/>
          </w:tcPr>
          <w:p>
            <w:pPr>
              <w:spacing w:line="220" w:lineRule="exact"/>
              <w:jc w:val="center"/>
              <w:rPr>
                <w:sz w:val="18"/>
                <w:szCs w:val="18"/>
              </w:rPr>
            </w:pPr>
          </w:p>
        </w:tc>
        <w:tc>
          <w:tcPr>
            <w:tcW w:w="700" w:type="dxa"/>
            <w:vAlign w:val="center"/>
          </w:tcPr>
          <w:p>
            <w:pPr>
              <w:spacing w:line="220" w:lineRule="exact"/>
              <w:jc w:val="center"/>
              <w:rPr>
                <w:sz w:val="18"/>
                <w:szCs w:val="18"/>
              </w:rPr>
            </w:pPr>
          </w:p>
        </w:tc>
      </w:tr>
    </w:tbl>
    <w:p>
      <w:pPr>
        <w:spacing w:line="240" w:lineRule="exact"/>
        <w:rPr>
          <w:rFonts w:ascii="仿宋_GB2312" w:hAnsi="宋体"/>
          <w:b/>
          <w:sz w:val="21"/>
          <w:szCs w:val="21"/>
        </w:rPr>
      </w:pPr>
    </w:p>
    <w:p>
      <w:pPr>
        <w:spacing w:line="560" w:lineRule="exact"/>
        <w:ind w:firstLine="630" w:firstLineChars="196"/>
        <w:rPr>
          <w:rFonts w:ascii="黑体" w:hAnsi="黑体" w:eastAsia="黑体"/>
          <w:b/>
          <w:sz w:val="32"/>
        </w:rPr>
      </w:pPr>
      <w:r>
        <w:rPr>
          <w:rFonts w:hint="eastAsia" w:ascii="黑体" w:hAnsi="黑体" w:eastAsia="黑体"/>
          <w:b/>
          <w:sz w:val="32"/>
        </w:rPr>
        <w:t>八、实施保障</w:t>
      </w:r>
    </w:p>
    <w:p>
      <w:pPr>
        <w:pStyle w:val="16"/>
        <w:spacing w:line="560" w:lineRule="exact"/>
        <w:ind w:firstLine="640"/>
        <w:rPr>
          <w:rFonts w:ascii="仿宋_GB2312" w:eastAsia="仿宋_GB2312"/>
          <w:color w:val="000000"/>
          <w:kern w:val="2"/>
          <w:sz w:val="28"/>
          <w:szCs w:val="28"/>
        </w:rPr>
      </w:pPr>
      <w:r>
        <w:rPr>
          <w:rFonts w:hint="eastAsia" w:ascii="仿宋_GB2312" w:eastAsia="仿宋_GB2312"/>
          <w:color w:val="000000"/>
          <w:kern w:val="2"/>
          <w:sz w:val="32"/>
          <w:szCs w:val="30"/>
        </w:rPr>
        <w:t>（一）培养模式</w:t>
      </w:r>
    </w:p>
    <w:p>
      <w:pPr>
        <w:pStyle w:val="16"/>
        <w:spacing w:line="560" w:lineRule="exact"/>
        <w:ind w:firstLine="560"/>
        <w:rPr>
          <w:rFonts w:ascii="仿宋_GB2312" w:eastAsia="仿宋_GB2312"/>
          <w:color w:val="000000"/>
          <w:kern w:val="2"/>
          <w:sz w:val="28"/>
          <w:szCs w:val="28"/>
        </w:rPr>
      </w:pPr>
      <w:r>
        <w:rPr>
          <w:rFonts w:hint="eastAsia" w:ascii="仿宋_GB2312" w:eastAsia="仿宋_GB2312"/>
          <w:color w:val="000000"/>
          <w:kern w:val="2"/>
          <w:sz w:val="28"/>
          <w:szCs w:val="28"/>
        </w:rPr>
        <w:t>1.培养体制</w:t>
      </w:r>
    </w:p>
    <w:p>
      <w:pPr>
        <w:pStyle w:val="16"/>
        <w:spacing w:line="560" w:lineRule="exact"/>
        <w:ind w:firstLine="560"/>
        <w:rPr>
          <w:rFonts w:ascii="仿宋_GB2312" w:eastAsia="仿宋_GB2312"/>
          <w:color w:val="000000"/>
          <w:kern w:val="2"/>
          <w:sz w:val="28"/>
          <w:szCs w:val="28"/>
        </w:rPr>
      </w:pPr>
      <w:r>
        <w:rPr>
          <w:rFonts w:hint="eastAsia" w:ascii="仿宋_GB2312" w:eastAsia="仿宋_GB2312"/>
          <w:color w:val="000000"/>
          <w:kern w:val="2"/>
          <w:sz w:val="28"/>
          <w:szCs w:val="28"/>
        </w:rPr>
        <w:t>政府、学校、行业企业三方合作，通过人才培养定位行业企业调研，构建“三方联动、三级递进”的人才培养模式，工学结合共同培养具备综合职业能力的高素质分析技能人才，实现专业人才的全面发展。</w:t>
      </w:r>
    </w:p>
    <w:p>
      <w:pPr>
        <w:pStyle w:val="16"/>
        <w:spacing w:line="560" w:lineRule="exact"/>
        <w:ind w:firstLine="560"/>
        <w:rPr>
          <w:rFonts w:ascii="仿宋_GB2312" w:eastAsia="仿宋_GB2312"/>
          <w:color w:val="000000"/>
          <w:kern w:val="2"/>
          <w:sz w:val="28"/>
          <w:szCs w:val="28"/>
        </w:rPr>
      </w:pPr>
      <w:r>
        <w:rPr>
          <w:rFonts w:hint="eastAsia" w:ascii="仿宋_GB2312" w:eastAsia="仿宋_GB2312"/>
          <w:color w:val="000000"/>
          <w:kern w:val="2"/>
          <w:sz w:val="28"/>
          <w:szCs w:val="28"/>
        </w:rPr>
        <w:t>2.运行机制</w:t>
      </w:r>
    </w:p>
    <w:p>
      <w:pPr>
        <w:pStyle w:val="16"/>
        <w:spacing w:line="560" w:lineRule="exact"/>
        <w:ind w:firstLine="560"/>
        <w:rPr>
          <w:rFonts w:hint="eastAsia" w:ascii="仿宋_GB2312" w:eastAsia="仿宋_GB2312"/>
          <w:color w:val="000000"/>
          <w:kern w:val="2"/>
          <w:sz w:val="28"/>
          <w:szCs w:val="28"/>
          <w:lang w:eastAsia="zh-CN"/>
        </w:rPr>
      </w:pPr>
      <w:r>
        <w:rPr>
          <w:rFonts w:hint="eastAsia" w:ascii="仿宋_GB2312" w:eastAsia="仿宋_GB2312"/>
          <w:color w:val="000000"/>
          <w:kern w:val="2"/>
          <w:sz w:val="28"/>
          <w:szCs w:val="28"/>
        </w:rPr>
        <w:t>在政府主导下，充分发挥广西石油化工行业学会的引导作用，加强与企业的沟通联系，完善校企合作机制，明确校企双方责任，充分调动企业参与工业分析与检验专业人才培养的积极性和主动性。</w:t>
      </w:r>
    </w:p>
    <w:p>
      <w:pPr>
        <w:pStyle w:val="16"/>
        <w:spacing w:line="560" w:lineRule="exact"/>
        <w:ind w:firstLine="560"/>
        <w:rPr>
          <w:rFonts w:hint="eastAsia" w:ascii="仿宋_GB2312" w:eastAsia="仿宋_GB2312"/>
          <w:color w:val="000000"/>
          <w:kern w:val="2"/>
          <w:sz w:val="28"/>
          <w:szCs w:val="28"/>
          <w:lang w:eastAsia="zh-CN"/>
        </w:rPr>
      </w:pPr>
      <w:r>
        <w:rPr>
          <w:rFonts w:hint="eastAsia" w:ascii="仿宋_GB2312" w:eastAsia="仿宋_GB2312"/>
          <w:color w:val="000000"/>
          <w:kern w:val="2"/>
          <w:sz w:val="28"/>
          <w:szCs w:val="28"/>
        </w:rPr>
        <w:t xml:space="preserve">   （1）成立校企合作指导委员会石油化工专业分会</w:t>
      </w:r>
    </w:p>
    <w:p>
      <w:pPr>
        <w:pStyle w:val="16"/>
        <w:spacing w:line="560" w:lineRule="exact"/>
        <w:ind w:firstLine="560"/>
        <w:rPr>
          <w:rFonts w:hint="eastAsia" w:ascii="仿宋_GB2312" w:eastAsia="仿宋_GB2312"/>
          <w:color w:val="000000"/>
          <w:kern w:val="2"/>
          <w:sz w:val="28"/>
          <w:szCs w:val="28"/>
          <w:lang w:eastAsia="zh-CN"/>
        </w:rPr>
      </w:pPr>
      <w:r>
        <w:rPr>
          <w:rFonts w:hint="eastAsia" w:ascii="仿宋_GB2312" w:eastAsia="仿宋_GB2312"/>
          <w:color w:val="000000"/>
          <w:kern w:val="2"/>
          <w:sz w:val="28"/>
          <w:szCs w:val="28"/>
        </w:rPr>
        <w:t xml:space="preserve">   成立由行业企业专家、专业带头人、骨干教师组成的校企合作指导委员会石油化工专业分会，指导开展工业分析与检验专业人才培养定位行业企业调研及分析、专业人才培养方案编制、一体化课程开发与实施、师资队伍建设、校内外实训基地建设、工学交替教学实习、人才培养质量评价等工作。</w:t>
      </w:r>
    </w:p>
    <w:p>
      <w:pPr>
        <w:pStyle w:val="16"/>
        <w:spacing w:line="560" w:lineRule="exact"/>
        <w:ind w:firstLine="560"/>
        <w:rPr>
          <w:rFonts w:hint="eastAsia" w:ascii="仿宋_GB2312" w:eastAsia="仿宋_GB2312"/>
          <w:color w:val="000000"/>
          <w:kern w:val="2"/>
          <w:sz w:val="28"/>
          <w:szCs w:val="28"/>
          <w:lang w:eastAsia="zh-CN"/>
        </w:rPr>
      </w:pPr>
      <w:r>
        <w:rPr>
          <w:rFonts w:hint="eastAsia" w:ascii="仿宋_GB2312" w:eastAsia="仿宋_GB2312"/>
          <w:color w:val="000000"/>
          <w:kern w:val="2"/>
          <w:sz w:val="28"/>
          <w:szCs w:val="28"/>
        </w:rPr>
        <w:t xml:space="preserve">   （2）校企共同开展专业人才培养</w:t>
      </w:r>
    </w:p>
    <w:p>
      <w:pPr>
        <w:pStyle w:val="16"/>
        <w:spacing w:line="560" w:lineRule="exact"/>
        <w:ind w:firstLine="560"/>
        <w:rPr>
          <w:rFonts w:hint="eastAsia" w:ascii="仿宋_GB2312" w:eastAsia="仿宋_GB2312"/>
          <w:color w:val="000000"/>
          <w:kern w:val="2"/>
          <w:sz w:val="28"/>
          <w:szCs w:val="28"/>
          <w:lang w:eastAsia="zh-CN"/>
        </w:rPr>
      </w:pPr>
      <w:r>
        <w:rPr>
          <w:rFonts w:hint="eastAsia" w:ascii="仿宋_GB2312" w:eastAsia="仿宋_GB2312"/>
          <w:color w:val="000000"/>
          <w:kern w:val="2"/>
          <w:sz w:val="28"/>
          <w:szCs w:val="28"/>
        </w:rPr>
        <w:t xml:space="preserve">  与合作企业开展订单委培或根据企业实际用工需求针对性制定教学计划，使教学对接生产、学习对接工作。结合专业教学，实施工学结合。聘请企业兼职教师，校企双方人员共同实施工学结合一体化课程教学，以典型工作任务和产品的实际生产为载体，培养学生的职业能力。</w:t>
      </w:r>
    </w:p>
    <w:p>
      <w:pPr>
        <w:pStyle w:val="16"/>
        <w:spacing w:line="560" w:lineRule="exact"/>
        <w:ind w:firstLine="560"/>
        <w:rPr>
          <w:rFonts w:hint="eastAsia" w:ascii="仿宋_GB2312" w:eastAsia="仿宋_GB2312"/>
          <w:color w:val="000000"/>
          <w:kern w:val="2"/>
          <w:sz w:val="28"/>
          <w:szCs w:val="28"/>
          <w:lang w:eastAsia="zh-CN"/>
        </w:rPr>
      </w:pPr>
      <w:r>
        <w:rPr>
          <w:rFonts w:hint="eastAsia" w:ascii="仿宋_GB2312" w:eastAsia="仿宋_GB2312"/>
          <w:color w:val="000000"/>
          <w:kern w:val="2"/>
          <w:sz w:val="28"/>
          <w:szCs w:val="28"/>
        </w:rPr>
        <w:t xml:space="preserve">   （3）校企共同建设教学育人环境</w:t>
      </w:r>
    </w:p>
    <w:p>
      <w:pPr>
        <w:pStyle w:val="16"/>
        <w:spacing w:line="560" w:lineRule="exact"/>
        <w:ind w:firstLine="560"/>
        <w:rPr>
          <w:rFonts w:ascii="仿宋_GB2312" w:eastAsia="仿宋_GB2312"/>
          <w:color w:val="000000"/>
          <w:kern w:val="2"/>
          <w:sz w:val="28"/>
          <w:szCs w:val="28"/>
        </w:rPr>
      </w:pPr>
      <w:r>
        <w:rPr>
          <w:rFonts w:hint="eastAsia" w:ascii="仿宋_GB2312" w:eastAsia="仿宋_GB2312"/>
          <w:color w:val="000000"/>
          <w:kern w:val="2"/>
          <w:sz w:val="28"/>
          <w:szCs w:val="28"/>
        </w:rPr>
        <w:t xml:space="preserve">    校企共同开展专业一体化学习工作站建设，不断完善实训场地设备设施，将校园文化与企业文化深度融合，营造浓厚的职业氛围。结合专业课程教学需要，根据合作企业的行业特点和现有条件，建立校外实训基地，满足专业学生工学交替课程教学实施。校企共同建立校内外实训基地各项管理制度，双向互派人员共同做好学生教学管理工作。</w:t>
      </w:r>
    </w:p>
    <w:p>
      <w:pPr>
        <w:pStyle w:val="16"/>
        <w:spacing w:line="560" w:lineRule="exact"/>
        <w:ind w:firstLine="640"/>
        <w:rPr>
          <w:rFonts w:ascii="仿宋_GB2312" w:eastAsia="仿宋_GB2312"/>
          <w:color w:val="000000"/>
          <w:kern w:val="2"/>
          <w:sz w:val="28"/>
          <w:szCs w:val="28"/>
        </w:rPr>
      </w:pPr>
      <w:r>
        <w:rPr>
          <w:rFonts w:hint="eastAsia" w:ascii="仿宋_GB2312" w:eastAsia="仿宋_GB2312"/>
          <w:color w:val="000000"/>
          <w:kern w:val="2"/>
          <w:sz w:val="32"/>
          <w:szCs w:val="30"/>
        </w:rPr>
        <w:t>（二）师资队伍</w:t>
      </w:r>
    </w:p>
    <w:p>
      <w:pPr>
        <w:pStyle w:val="16"/>
        <w:spacing w:line="560" w:lineRule="exact"/>
        <w:ind w:firstLine="560"/>
        <w:rPr>
          <w:rFonts w:ascii="仿宋_GB2312" w:eastAsia="仿宋_GB2312"/>
          <w:color w:val="000000"/>
          <w:kern w:val="2"/>
          <w:sz w:val="28"/>
          <w:szCs w:val="28"/>
        </w:rPr>
      </w:pPr>
      <w:r>
        <w:rPr>
          <w:rFonts w:hint="eastAsia" w:ascii="仿宋_GB2312" w:eastAsia="仿宋_GB2312"/>
          <w:color w:val="000000"/>
          <w:kern w:val="2"/>
          <w:sz w:val="28"/>
          <w:szCs w:val="28"/>
        </w:rPr>
        <w:t xml:space="preserve">1.专业教师结构 </w:t>
      </w:r>
    </w:p>
    <w:p>
      <w:pPr>
        <w:pStyle w:val="16"/>
        <w:spacing w:line="560" w:lineRule="exact"/>
        <w:ind w:firstLine="560"/>
        <w:rPr>
          <w:rFonts w:ascii="仿宋_GB2312" w:eastAsia="仿宋_GB2312"/>
          <w:color w:val="000000"/>
          <w:kern w:val="2"/>
          <w:sz w:val="28"/>
          <w:szCs w:val="28"/>
        </w:rPr>
      </w:pPr>
      <w:r>
        <w:rPr>
          <w:rFonts w:hint="eastAsia" w:ascii="仿宋_GB2312" w:eastAsia="仿宋_GB2312"/>
          <w:color w:val="000000"/>
          <w:kern w:val="2"/>
          <w:sz w:val="28"/>
          <w:szCs w:val="28"/>
        </w:rPr>
        <w:t>专业教师团队由学校专任教师和企业兼职教师组成，生师比≤20:1，其中企业生产一线兼职教师 2 名，双师型教师占专任教师的比例不低于70%。</w:t>
      </w:r>
    </w:p>
    <w:p>
      <w:pPr>
        <w:pStyle w:val="16"/>
        <w:spacing w:line="560" w:lineRule="exact"/>
        <w:ind w:firstLine="560"/>
        <w:rPr>
          <w:rFonts w:ascii="仿宋_GB2312" w:eastAsia="仿宋_GB2312"/>
          <w:color w:val="000000"/>
          <w:kern w:val="2"/>
          <w:sz w:val="28"/>
          <w:szCs w:val="28"/>
        </w:rPr>
      </w:pPr>
      <w:r>
        <w:rPr>
          <w:rFonts w:hint="eastAsia" w:ascii="仿宋_GB2312" w:eastAsia="仿宋_GB2312"/>
          <w:color w:val="000000"/>
          <w:kern w:val="2"/>
          <w:sz w:val="28"/>
          <w:szCs w:val="28"/>
        </w:rPr>
        <w:t>2.专任教师要求</w:t>
      </w:r>
    </w:p>
    <w:p>
      <w:pPr>
        <w:pStyle w:val="16"/>
        <w:spacing w:line="560" w:lineRule="exact"/>
        <w:ind w:firstLine="560"/>
        <w:rPr>
          <w:rFonts w:ascii="仿宋_GB2312" w:eastAsia="仿宋_GB2312"/>
          <w:color w:val="000000"/>
          <w:kern w:val="2"/>
          <w:sz w:val="28"/>
          <w:szCs w:val="28"/>
        </w:rPr>
      </w:pPr>
      <w:r>
        <w:rPr>
          <w:rFonts w:hint="eastAsia" w:ascii="仿宋_GB2312" w:eastAsia="仿宋_GB2312"/>
          <w:color w:val="000000"/>
          <w:kern w:val="2"/>
          <w:sz w:val="28"/>
          <w:szCs w:val="28"/>
        </w:rPr>
        <w:t>（1）具备相关专业本科以上学历，具有中等职业学校教师资格。</w:t>
      </w:r>
    </w:p>
    <w:p>
      <w:pPr>
        <w:pStyle w:val="16"/>
        <w:spacing w:line="560" w:lineRule="exact"/>
        <w:ind w:firstLine="560"/>
        <w:rPr>
          <w:rFonts w:ascii="仿宋_GB2312" w:eastAsia="仿宋_GB2312"/>
          <w:color w:val="000000"/>
          <w:kern w:val="2"/>
          <w:sz w:val="28"/>
          <w:szCs w:val="28"/>
        </w:rPr>
      </w:pPr>
      <w:r>
        <w:rPr>
          <w:rFonts w:hint="eastAsia" w:ascii="仿宋_GB2312" w:eastAsia="仿宋_GB2312"/>
          <w:color w:val="000000"/>
          <w:kern w:val="2"/>
          <w:sz w:val="28"/>
          <w:szCs w:val="28"/>
        </w:rPr>
        <w:t>（2）在企业从事相应专业工作（含企业挂职锻炼）累计达半年以上，并取得相应职业资格证书。承担专业核心课程教学的教师必须具备累计1年以上企业相应专业经历（含企业挂职锻炼），并具备高级工以上的职业资格。</w:t>
      </w:r>
    </w:p>
    <w:p>
      <w:pPr>
        <w:pStyle w:val="16"/>
        <w:spacing w:line="560" w:lineRule="exact"/>
        <w:ind w:firstLine="560"/>
        <w:rPr>
          <w:rFonts w:ascii="仿宋_GB2312" w:eastAsia="仿宋_GB2312"/>
          <w:color w:val="000000"/>
          <w:kern w:val="2"/>
          <w:sz w:val="28"/>
          <w:szCs w:val="28"/>
        </w:rPr>
      </w:pPr>
      <w:r>
        <w:rPr>
          <w:rFonts w:hint="eastAsia" w:ascii="仿宋_GB2312" w:eastAsia="仿宋_GB2312"/>
          <w:color w:val="000000"/>
          <w:kern w:val="2"/>
          <w:sz w:val="28"/>
          <w:szCs w:val="28"/>
        </w:rPr>
        <w:t>（3）经过职业教育学理论、教学方法等方面的培训，具有基本的教学设计能力。</w:t>
      </w:r>
    </w:p>
    <w:p>
      <w:pPr>
        <w:pStyle w:val="16"/>
        <w:spacing w:line="560" w:lineRule="exact"/>
        <w:ind w:firstLine="560"/>
        <w:rPr>
          <w:rFonts w:ascii="仿宋_GB2312" w:eastAsia="仿宋_GB2312"/>
          <w:color w:val="000000"/>
          <w:kern w:val="2"/>
          <w:sz w:val="28"/>
          <w:szCs w:val="28"/>
        </w:rPr>
      </w:pPr>
      <w:r>
        <w:rPr>
          <w:rFonts w:hint="eastAsia" w:ascii="仿宋_GB2312" w:eastAsia="仿宋_GB2312"/>
          <w:color w:val="000000"/>
          <w:kern w:val="2"/>
          <w:sz w:val="28"/>
          <w:szCs w:val="28"/>
        </w:rPr>
        <w:t>3.兼职教师任职资格及专业能力要求</w:t>
      </w:r>
    </w:p>
    <w:p>
      <w:pPr>
        <w:pStyle w:val="16"/>
        <w:spacing w:line="560" w:lineRule="exact"/>
        <w:ind w:firstLine="560"/>
        <w:rPr>
          <w:rFonts w:ascii="仿宋_GB2312" w:eastAsia="仿宋_GB2312"/>
          <w:color w:val="000000"/>
          <w:kern w:val="2"/>
          <w:sz w:val="28"/>
          <w:szCs w:val="28"/>
        </w:rPr>
      </w:pPr>
      <w:r>
        <w:rPr>
          <w:rFonts w:hint="eastAsia" w:ascii="仿宋_GB2312" w:eastAsia="仿宋_GB2312"/>
          <w:color w:val="000000"/>
          <w:kern w:val="2"/>
          <w:sz w:val="28"/>
          <w:szCs w:val="28"/>
        </w:rPr>
        <w:t>（1）具备相同或相近专业工程师以上职称或技师以上职业资格。</w:t>
      </w:r>
    </w:p>
    <w:p>
      <w:pPr>
        <w:pStyle w:val="16"/>
        <w:spacing w:line="560" w:lineRule="exact"/>
        <w:ind w:firstLine="560"/>
        <w:rPr>
          <w:rFonts w:ascii="仿宋_GB2312" w:eastAsia="仿宋_GB2312"/>
          <w:color w:val="000000"/>
          <w:kern w:val="2"/>
          <w:sz w:val="28"/>
          <w:szCs w:val="28"/>
        </w:rPr>
      </w:pPr>
      <w:r>
        <w:rPr>
          <w:rFonts w:hint="eastAsia" w:ascii="仿宋_GB2312" w:eastAsia="仿宋_GB2312"/>
          <w:color w:val="000000"/>
          <w:kern w:val="2"/>
          <w:sz w:val="28"/>
          <w:szCs w:val="28"/>
        </w:rPr>
        <w:t>（2）具有基本的教学能力，具备承担任教课程所需的业务能力。</w:t>
      </w:r>
    </w:p>
    <w:p>
      <w:pPr>
        <w:pStyle w:val="16"/>
        <w:spacing w:line="560" w:lineRule="exact"/>
        <w:ind w:firstLine="640"/>
        <w:rPr>
          <w:rFonts w:ascii="仿宋_GB2312" w:eastAsia="仿宋_GB2312"/>
          <w:color w:val="000000"/>
          <w:kern w:val="2"/>
          <w:sz w:val="32"/>
          <w:szCs w:val="30"/>
        </w:rPr>
      </w:pPr>
      <w:r>
        <w:rPr>
          <w:rFonts w:hint="eastAsia" w:ascii="仿宋_GB2312" w:eastAsia="仿宋_GB2312"/>
          <w:color w:val="000000"/>
          <w:kern w:val="2"/>
          <w:sz w:val="32"/>
          <w:szCs w:val="30"/>
        </w:rPr>
        <w:t>（三）场地设施设备</w:t>
      </w:r>
      <w:bookmarkStart w:id="0" w:name="_Toc22886725"/>
    </w:p>
    <w:p>
      <w:pPr>
        <w:spacing w:line="360" w:lineRule="auto"/>
        <w:ind w:firstLine="560" w:firstLineChars="200"/>
        <w:outlineLvl w:val="1"/>
        <w:rPr>
          <w:rFonts w:ascii="方正小标宋简体" w:hAnsi="宋体" w:eastAsia="方正小标宋简体"/>
          <w:sz w:val="36"/>
          <w:szCs w:val="36"/>
        </w:rPr>
      </w:pPr>
      <w:r>
        <w:rPr>
          <w:rFonts w:hint="eastAsia" w:ascii="仿宋_GB2312" w:hAnsi="宋体"/>
          <w:sz w:val="28"/>
          <w:szCs w:val="28"/>
        </w:rPr>
        <w:t>1. 校内实训基地</w:t>
      </w:r>
    </w:p>
    <w:p>
      <w:pPr>
        <w:spacing w:line="360" w:lineRule="auto"/>
        <w:jc w:val="center"/>
        <w:outlineLvl w:val="1"/>
        <w:rPr>
          <w:rFonts w:ascii="方正小标宋简体" w:hAnsi="宋体" w:eastAsia="方正小标宋简体"/>
          <w:sz w:val="36"/>
          <w:szCs w:val="36"/>
        </w:rPr>
      </w:pPr>
      <w:r>
        <w:rPr>
          <w:rFonts w:hint="eastAsia" w:ascii="方正小标宋简体" w:hAnsi="宋体" w:eastAsia="方正小标宋简体"/>
          <w:sz w:val="36"/>
          <w:szCs w:val="36"/>
        </w:rPr>
        <w:t>实训室设备</w:t>
      </w:r>
      <w:bookmarkEnd w:id="0"/>
      <w:r>
        <w:rPr>
          <w:rFonts w:hint="eastAsia" w:ascii="方正小标宋简体" w:hAnsi="宋体" w:eastAsia="方正小标宋简体"/>
          <w:sz w:val="36"/>
          <w:szCs w:val="36"/>
        </w:rPr>
        <w:t>配置表（样表）</w:t>
      </w:r>
    </w:p>
    <w:tbl>
      <w:tblPr>
        <w:tblStyle w:val="7"/>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918"/>
        <w:gridCol w:w="2010"/>
        <w:gridCol w:w="1050"/>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Merge w:val="restart"/>
            <w:shd w:val="clear" w:color="auto" w:fill="FFFFFF"/>
            <w:vAlign w:val="center"/>
          </w:tcPr>
          <w:p>
            <w:pPr>
              <w:widowControl/>
              <w:spacing w:line="440" w:lineRule="exact"/>
              <w:jc w:val="center"/>
              <w:rPr>
                <w:rFonts w:ascii="仿宋_GB2312" w:cs="仿宋"/>
                <w:b/>
                <w:bCs/>
                <w:kern w:val="0"/>
                <w:sz w:val="24"/>
                <w:szCs w:val="24"/>
              </w:rPr>
            </w:pPr>
            <w:r>
              <w:rPr>
                <w:rFonts w:hint="eastAsia" w:ascii="仿宋_GB2312" w:cs="仿宋"/>
                <w:b/>
                <w:bCs/>
                <w:kern w:val="0"/>
                <w:sz w:val="24"/>
                <w:szCs w:val="24"/>
              </w:rPr>
              <w:t>序号</w:t>
            </w:r>
          </w:p>
        </w:tc>
        <w:tc>
          <w:tcPr>
            <w:tcW w:w="1918" w:type="dxa"/>
            <w:vMerge w:val="restart"/>
            <w:shd w:val="clear" w:color="auto" w:fill="FFFFFF"/>
            <w:vAlign w:val="center"/>
          </w:tcPr>
          <w:p>
            <w:pPr>
              <w:widowControl/>
              <w:spacing w:line="440" w:lineRule="exact"/>
              <w:jc w:val="center"/>
              <w:rPr>
                <w:rFonts w:ascii="仿宋_GB2312" w:cs="仿宋"/>
                <w:b/>
                <w:bCs/>
                <w:kern w:val="0"/>
                <w:sz w:val="24"/>
                <w:szCs w:val="24"/>
              </w:rPr>
            </w:pPr>
            <w:r>
              <w:rPr>
                <w:rFonts w:hint="eastAsia" w:ascii="仿宋_GB2312" w:cs="仿宋"/>
                <w:b/>
                <w:bCs/>
                <w:kern w:val="0"/>
                <w:sz w:val="24"/>
                <w:szCs w:val="24"/>
              </w:rPr>
              <w:t>实训室名称</w:t>
            </w:r>
          </w:p>
        </w:tc>
        <w:tc>
          <w:tcPr>
            <w:tcW w:w="3060" w:type="dxa"/>
            <w:gridSpan w:val="2"/>
            <w:shd w:val="clear" w:color="auto" w:fill="FFFFFF"/>
            <w:vAlign w:val="center"/>
          </w:tcPr>
          <w:p>
            <w:pPr>
              <w:widowControl/>
              <w:spacing w:line="440" w:lineRule="exact"/>
              <w:jc w:val="center"/>
              <w:rPr>
                <w:rFonts w:ascii="仿宋_GB2312" w:cs="仿宋"/>
                <w:b/>
                <w:bCs/>
                <w:kern w:val="0"/>
                <w:sz w:val="24"/>
                <w:szCs w:val="24"/>
              </w:rPr>
            </w:pPr>
            <w:r>
              <w:rPr>
                <w:rFonts w:hint="eastAsia" w:ascii="仿宋_GB2312" w:cs="仿宋"/>
                <w:b/>
                <w:bCs/>
                <w:kern w:val="0"/>
                <w:sz w:val="24"/>
                <w:szCs w:val="24"/>
              </w:rPr>
              <w:t>主要设备和工具</w:t>
            </w:r>
          </w:p>
        </w:tc>
        <w:tc>
          <w:tcPr>
            <w:tcW w:w="3785" w:type="dxa"/>
            <w:vMerge w:val="restart"/>
            <w:tcBorders>
              <w:top w:val="single" w:color="auto" w:sz="4" w:space="0"/>
            </w:tcBorders>
            <w:shd w:val="clear" w:color="auto" w:fill="auto"/>
            <w:vAlign w:val="center"/>
          </w:tcPr>
          <w:p>
            <w:pPr>
              <w:widowControl/>
              <w:jc w:val="center"/>
              <w:rPr>
                <w:rFonts w:ascii="仿宋_GB2312"/>
                <w:sz w:val="24"/>
                <w:szCs w:val="24"/>
              </w:rPr>
            </w:pPr>
            <w:r>
              <w:rPr>
                <w:rFonts w:hint="eastAsia" w:ascii="仿宋_GB2312" w:cs="仿宋"/>
                <w:b/>
                <w:bCs/>
                <w:kern w:val="0"/>
                <w:sz w:val="24"/>
                <w:szCs w:val="24"/>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Merge w:val="continue"/>
            <w:shd w:val="clear" w:color="auto" w:fill="FFFFFF"/>
            <w:vAlign w:val="center"/>
          </w:tcPr>
          <w:p>
            <w:pPr>
              <w:spacing w:line="440" w:lineRule="exact"/>
              <w:rPr>
                <w:rFonts w:ascii="仿宋_GB2312"/>
                <w:sz w:val="24"/>
                <w:szCs w:val="24"/>
              </w:rPr>
            </w:pPr>
          </w:p>
        </w:tc>
        <w:tc>
          <w:tcPr>
            <w:tcW w:w="1918" w:type="dxa"/>
            <w:vMerge w:val="continue"/>
            <w:shd w:val="clear" w:color="auto" w:fill="FFFFFF"/>
            <w:vAlign w:val="center"/>
          </w:tcPr>
          <w:p>
            <w:pPr>
              <w:spacing w:line="440" w:lineRule="exact"/>
              <w:rPr>
                <w:rFonts w:ascii="仿宋_GB2312"/>
                <w:sz w:val="24"/>
                <w:szCs w:val="24"/>
              </w:rPr>
            </w:pPr>
          </w:p>
        </w:tc>
        <w:tc>
          <w:tcPr>
            <w:tcW w:w="2010" w:type="dxa"/>
            <w:shd w:val="clear" w:color="auto" w:fill="FFFFFF"/>
            <w:vAlign w:val="center"/>
          </w:tcPr>
          <w:p>
            <w:pPr>
              <w:widowControl/>
              <w:spacing w:line="400" w:lineRule="exact"/>
              <w:jc w:val="center"/>
              <w:rPr>
                <w:rFonts w:ascii="仿宋_GB2312" w:cs="仿宋"/>
                <w:b/>
                <w:bCs/>
                <w:kern w:val="0"/>
                <w:sz w:val="24"/>
                <w:szCs w:val="24"/>
              </w:rPr>
            </w:pPr>
            <w:r>
              <w:rPr>
                <w:rFonts w:hint="eastAsia" w:ascii="仿宋_GB2312" w:cs="仿宋"/>
                <w:b/>
                <w:bCs/>
                <w:kern w:val="0"/>
                <w:sz w:val="24"/>
                <w:szCs w:val="24"/>
              </w:rPr>
              <w:t>名称</w:t>
            </w:r>
          </w:p>
        </w:tc>
        <w:tc>
          <w:tcPr>
            <w:tcW w:w="1050" w:type="dxa"/>
            <w:shd w:val="clear" w:color="auto" w:fill="FFFFFF"/>
            <w:vAlign w:val="center"/>
          </w:tcPr>
          <w:p>
            <w:pPr>
              <w:widowControl/>
              <w:spacing w:line="400" w:lineRule="exact"/>
              <w:jc w:val="center"/>
              <w:rPr>
                <w:rFonts w:ascii="仿宋_GB2312" w:cs="仿宋"/>
                <w:b/>
                <w:bCs/>
                <w:kern w:val="0"/>
                <w:sz w:val="24"/>
                <w:szCs w:val="24"/>
              </w:rPr>
            </w:pPr>
            <w:r>
              <w:rPr>
                <w:rFonts w:hint="eastAsia" w:ascii="仿宋_GB2312" w:cs="仿宋"/>
                <w:b/>
                <w:bCs/>
                <w:kern w:val="0"/>
                <w:sz w:val="24"/>
                <w:szCs w:val="24"/>
              </w:rPr>
              <w:t>数量</w:t>
            </w:r>
          </w:p>
          <w:p>
            <w:pPr>
              <w:widowControl/>
              <w:spacing w:line="400" w:lineRule="exact"/>
              <w:jc w:val="center"/>
              <w:rPr>
                <w:rFonts w:ascii="仿宋_GB2312" w:cs="仿宋"/>
                <w:b/>
                <w:bCs/>
                <w:kern w:val="0"/>
                <w:sz w:val="24"/>
                <w:szCs w:val="24"/>
              </w:rPr>
            </w:pPr>
            <w:r>
              <w:rPr>
                <w:rFonts w:hint="eastAsia" w:ascii="仿宋_GB2312" w:cs="仿宋"/>
                <w:b/>
                <w:bCs/>
                <w:kern w:val="0"/>
                <w:sz w:val="24"/>
                <w:szCs w:val="24"/>
              </w:rPr>
              <w:t>（台套）</w:t>
            </w:r>
          </w:p>
        </w:tc>
        <w:tc>
          <w:tcPr>
            <w:tcW w:w="3785" w:type="dxa"/>
            <w:vMerge w:val="continue"/>
            <w:shd w:val="clear" w:color="auto" w:fill="auto"/>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spacing w:line="440" w:lineRule="exact"/>
              <w:rPr>
                <w:rFonts w:ascii="仿宋_GB2312" w:cs="仿宋"/>
                <w:bCs/>
                <w:sz w:val="24"/>
                <w:szCs w:val="24"/>
              </w:rPr>
            </w:pPr>
            <w:r>
              <w:rPr>
                <w:rFonts w:hint="eastAsia" w:ascii="仿宋_GB2312" w:cs="仿宋"/>
                <w:bCs/>
                <w:sz w:val="24"/>
                <w:szCs w:val="24"/>
              </w:rPr>
              <w:t>1</w:t>
            </w:r>
          </w:p>
        </w:tc>
        <w:tc>
          <w:tcPr>
            <w:tcW w:w="1918" w:type="dxa"/>
            <w:vAlign w:val="center"/>
          </w:tcPr>
          <w:p>
            <w:pPr>
              <w:spacing w:line="440" w:lineRule="exact"/>
              <w:rPr>
                <w:rFonts w:ascii="仿宋_GB2312" w:hAnsi="宋体" w:cs="宋体"/>
                <w:bCs/>
                <w:sz w:val="24"/>
                <w:szCs w:val="24"/>
              </w:rPr>
            </w:pPr>
            <w:r>
              <w:rPr>
                <w:rFonts w:hint="eastAsia" w:ascii="仿宋_GB2312" w:hAnsi="宋体" w:cs="宋体"/>
                <w:bCs/>
                <w:sz w:val="24"/>
                <w:szCs w:val="24"/>
              </w:rPr>
              <w:t>化学分析实训室</w:t>
            </w:r>
          </w:p>
        </w:tc>
        <w:tc>
          <w:tcPr>
            <w:tcW w:w="2010" w:type="dxa"/>
            <w:vAlign w:val="center"/>
          </w:tcPr>
          <w:p>
            <w:pPr>
              <w:spacing w:line="440" w:lineRule="exact"/>
              <w:rPr>
                <w:rFonts w:ascii="仿宋_GB2312" w:hAnsi="宋体" w:cs="宋体"/>
                <w:bCs/>
                <w:sz w:val="24"/>
                <w:szCs w:val="24"/>
              </w:rPr>
            </w:pPr>
            <w:r>
              <w:rPr>
                <w:rFonts w:hint="eastAsia" w:ascii="仿宋_GB2312" w:hAnsi="宋体" w:cs="宋体"/>
                <w:bCs/>
                <w:sz w:val="24"/>
                <w:szCs w:val="24"/>
              </w:rPr>
              <w:t>滴定分析用玻璃仪器</w:t>
            </w:r>
          </w:p>
        </w:tc>
        <w:tc>
          <w:tcPr>
            <w:tcW w:w="1050" w:type="dxa"/>
            <w:vAlign w:val="center"/>
          </w:tcPr>
          <w:p>
            <w:pPr>
              <w:spacing w:line="440" w:lineRule="exact"/>
              <w:jc w:val="center"/>
              <w:rPr>
                <w:rFonts w:ascii="仿宋_GB2312" w:hAnsi="宋体" w:cs="宋体"/>
                <w:bCs/>
                <w:sz w:val="24"/>
                <w:szCs w:val="24"/>
              </w:rPr>
            </w:pPr>
            <w:r>
              <w:rPr>
                <w:rFonts w:hint="eastAsia" w:ascii="仿宋_GB2312" w:hAnsi="宋体" w:cs="宋体"/>
                <w:bCs/>
                <w:sz w:val="24"/>
                <w:szCs w:val="24"/>
              </w:rPr>
              <w:t>40套</w:t>
            </w:r>
          </w:p>
        </w:tc>
        <w:tc>
          <w:tcPr>
            <w:tcW w:w="3785" w:type="dxa"/>
            <w:shd w:val="clear" w:color="auto" w:fill="auto"/>
          </w:tcPr>
          <w:p>
            <w:pPr>
              <w:widowControl/>
              <w:jc w:val="left"/>
              <w:rPr>
                <w:color w:val="FF0000"/>
                <w:sz w:val="24"/>
                <w:szCs w:val="24"/>
              </w:rPr>
            </w:pPr>
            <w:r>
              <w:rPr>
                <w:rFonts w:hint="eastAsia"/>
                <w:sz w:val="24"/>
                <w:szCs w:val="24"/>
              </w:rPr>
              <w:t>进行化工生产原料、中间产品、成品的分析和安全动火分析及标准滴定溶液的制备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spacing w:line="440" w:lineRule="exact"/>
              <w:rPr>
                <w:rFonts w:ascii="仿宋_GB2312" w:cs="仿宋"/>
                <w:bCs/>
                <w:sz w:val="24"/>
                <w:szCs w:val="24"/>
              </w:rPr>
            </w:pPr>
            <w:r>
              <w:rPr>
                <w:rFonts w:hint="eastAsia" w:ascii="仿宋_GB2312" w:cs="仿宋"/>
                <w:bCs/>
                <w:sz w:val="24"/>
                <w:szCs w:val="24"/>
              </w:rPr>
              <w:t>2</w:t>
            </w:r>
          </w:p>
        </w:tc>
        <w:tc>
          <w:tcPr>
            <w:tcW w:w="1918" w:type="dxa"/>
            <w:vAlign w:val="center"/>
          </w:tcPr>
          <w:p>
            <w:pPr>
              <w:spacing w:line="440" w:lineRule="exact"/>
              <w:rPr>
                <w:rFonts w:ascii="仿宋_GB2312" w:hAnsi="宋体" w:cs="宋体"/>
                <w:bCs/>
                <w:sz w:val="24"/>
                <w:szCs w:val="24"/>
              </w:rPr>
            </w:pPr>
            <w:r>
              <w:rPr>
                <w:rFonts w:hint="eastAsia" w:ascii="仿宋_GB2312" w:hAnsi="宋体" w:cs="宋体"/>
                <w:bCs/>
                <w:sz w:val="24"/>
                <w:szCs w:val="24"/>
              </w:rPr>
              <w:t>电子天平室</w:t>
            </w:r>
          </w:p>
        </w:tc>
        <w:tc>
          <w:tcPr>
            <w:tcW w:w="2010" w:type="dxa"/>
            <w:vAlign w:val="center"/>
          </w:tcPr>
          <w:p>
            <w:pPr>
              <w:spacing w:line="440" w:lineRule="exact"/>
              <w:rPr>
                <w:rFonts w:ascii="仿宋_GB2312" w:hAnsi="宋体" w:cs="宋体"/>
                <w:bCs/>
                <w:sz w:val="24"/>
                <w:szCs w:val="24"/>
              </w:rPr>
            </w:pPr>
            <w:r>
              <w:rPr>
                <w:rFonts w:hint="eastAsia" w:ascii="仿宋_GB2312" w:hAnsi="宋体" w:cs="宋体"/>
                <w:bCs/>
                <w:sz w:val="24"/>
                <w:szCs w:val="24"/>
              </w:rPr>
              <w:t>电子天平</w:t>
            </w:r>
          </w:p>
        </w:tc>
        <w:tc>
          <w:tcPr>
            <w:tcW w:w="1050" w:type="dxa"/>
            <w:vAlign w:val="center"/>
          </w:tcPr>
          <w:p>
            <w:pPr>
              <w:spacing w:line="440" w:lineRule="exact"/>
              <w:jc w:val="center"/>
              <w:rPr>
                <w:rFonts w:ascii="仿宋_GB2312" w:hAnsi="宋体" w:cs="宋体"/>
                <w:bCs/>
                <w:sz w:val="24"/>
                <w:szCs w:val="24"/>
              </w:rPr>
            </w:pPr>
            <w:r>
              <w:rPr>
                <w:rFonts w:hint="eastAsia" w:ascii="仿宋_GB2312" w:hAnsi="宋体" w:cs="宋体"/>
                <w:bCs/>
                <w:sz w:val="24"/>
                <w:szCs w:val="24"/>
              </w:rPr>
              <w:t>20台</w:t>
            </w:r>
          </w:p>
        </w:tc>
        <w:tc>
          <w:tcPr>
            <w:tcW w:w="3785" w:type="dxa"/>
            <w:shd w:val="clear" w:color="auto" w:fill="auto"/>
          </w:tcPr>
          <w:p>
            <w:pPr>
              <w:widowControl/>
              <w:jc w:val="left"/>
              <w:rPr>
                <w:color w:val="FF0000"/>
                <w:sz w:val="24"/>
                <w:szCs w:val="24"/>
              </w:rPr>
            </w:pPr>
            <w:r>
              <w:rPr>
                <w:rFonts w:hint="eastAsia"/>
                <w:sz w:val="24"/>
                <w:szCs w:val="24"/>
              </w:rPr>
              <w:t>用于化学检验工培训与技能鉴定，同时用于职业技能大赛培训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Align w:val="center"/>
          </w:tcPr>
          <w:p>
            <w:pPr>
              <w:spacing w:line="440" w:lineRule="exact"/>
              <w:rPr>
                <w:rFonts w:ascii="仿宋_GB2312" w:cs="仿宋"/>
                <w:bCs/>
                <w:sz w:val="24"/>
                <w:szCs w:val="24"/>
              </w:rPr>
            </w:pPr>
            <w:r>
              <w:rPr>
                <w:rFonts w:hint="eastAsia" w:ascii="仿宋_GB2312" w:cs="仿宋"/>
                <w:bCs/>
                <w:sz w:val="24"/>
                <w:szCs w:val="24"/>
              </w:rPr>
              <w:t>3</w:t>
            </w:r>
          </w:p>
        </w:tc>
        <w:tc>
          <w:tcPr>
            <w:tcW w:w="1918" w:type="dxa"/>
            <w:vAlign w:val="center"/>
          </w:tcPr>
          <w:p>
            <w:pPr>
              <w:spacing w:line="440" w:lineRule="exact"/>
              <w:rPr>
                <w:rFonts w:ascii="仿宋_GB2312" w:hAnsi="宋体" w:cs="宋体"/>
                <w:bCs/>
                <w:sz w:val="24"/>
                <w:szCs w:val="24"/>
              </w:rPr>
            </w:pPr>
            <w:r>
              <w:rPr>
                <w:rFonts w:hint="eastAsia" w:ascii="仿宋_GB2312" w:hAnsi="宋体" w:cs="宋体"/>
                <w:bCs/>
                <w:sz w:val="24"/>
                <w:szCs w:val="24"/>
              </w:rPr>
              <w:t>分光光度计室</w:t>
            </w:r>
          </w:p>
        </w:tc>
        <w:tc>
          <w:tcPr>
            <w:tcW w:w="2010" w:type="dxa"/>
            <w:vAlign w:val="center"/>
          </w:tcPr>
          <w:p>
            <w:pPr>
              <w:spacing w:line="440" w:lineRule="exact"/>
              <w:rPr>
                <w:rFonts w:ascii="仿宋_GB2312" w:hAnsi="宋体" w:cs="宋体"/>
                <w:bCs/>
                <w:sz w:val="24"/>
                <w:szCs w:val="24"/>
              </w:rPr>
            </w:pPr>
            <w:r>
              <w:rPr>
                <w:rFonts w:hint="eastAsia" w:ascii="仿宋_GB2312" w:hAnsi="宋体" w:cs="宋体"/>
                <w:bCs/>
                <w:sz w:val="24"/>
                <w:szCs w:val="24"/>
              </w:rPr>
              <w:t>可见分光光度计</w:t>
            </w:r>
          </w:p>
        </w:tc>
        <w:tc>
          <w:tcPr>
            <w:tcW w:w="1050" w:type="dxa"/>
            <w:vAlign w:val="center"/>
          </w:tcPr>
          <w:p>
            <w:pPr>
              <w:spacing w:line="440" w:lineRule="exact"/>
              <w:jc w:val="center"/>
              <w:rPr>
                <w:rFonts w:ascii="仿宋_GB2312" w:hAnsi="宋体" w:cs="宋体"/>
                <w:bCs/>
                <w:sz w:val="24"/>
                <w:szCs w:val="24"/>
              </w:rPr>
            </w:pPr>
            <w:r>
              <w:rPr>
                <w:rFonts w:hint="eastAsia" w:ascii="仿宋_GB2312" w:hAnsi="宋体" w:cs="宋体"/>
                <w:bCs/>
                <w:sz w:val="24"/>
                <w:szCs w:val="24"/>
              </w:rPr>
              <w:t>20台</w:t>
            </w:r>
          </w:p>
        </w:tc>
        <w:tc>
          <w:tcPr>
            <w:tcW w:w="3785" w:type="dxa"/>
            <w:shd w:val="clear" w:color="auto" w:fill="auto"/>
          </w:tcPr>
          <w:p>
            <w:pPr>
              <w:widowControl/>
              <w:jc w:val="left"/>
              <w:rPr>
                <w:color w:val="FF0000"/>
                <w:sz w:val="24"/>
                <w:szCs w:val="24"/>
              </w:rPr>
            </w:pPr>
            <w:r>
              <w:rPr>
                <w:rFonts w:hint="eastAsia"/>
                <w:sz w:val="24"/>
                <w:szCs w:val="24"/>
              </w:rPr>
              <w:t>进行仪器分析综合实训教学，进行物质中微量或痕量组分析，有机化合物化学结构的分析和有机化合物化学纯度的分析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Merge w:val="restart"/>
            <w:vAlign w:val="center"/>
          </w:tcPr>
          <w:p>
            <w:pPr>
              <w:spacing w:line="440" w:lineRule="exact"/>
              <w:rPr>
                <w:rFonts w:ascii="仿宋_GB2312" w:cs="仿宋"/>
                <w:bCs/>
                <w:sz w:val="24"/>
                <w:szCs w:val="24"/>
              </w:rPr>
            </w:pPr>
            <w:r>
              <w:rPr>
                <w:rFonts w:hint="eastAsia" w:ascii="仿宋_GB2312" w:cs="仿宋"/>
                <w:bCs/>
                <w:sz w:val="24"/>
                <w:szCs w:val="24"/>
              </w:rPr>
              <w:t>4</w:t>
            </w:r>
          </w:p>
        </w:tc>
        <w:tc>
          <w:tcPr>
            <w:tcW w:w="1918" w:type="dxa"/>
            <w:vMerge w:val="restart"/>
            <w:vAlign w:val="center"/>
          </w:tcPr>
          <w:p>
            <w:pPr>
              <w:spacing w:line="440" w:lineRule="exact"/>
              <w:rPr>
                <w:rFonts w:ascii="仿宋_GB2312" w:hAnsi="宋体" w:cs="宋体"/>
                <w:bCs/>
                <w:sz w:val="24"/>
                <w:szCs w:val="24"/>
              </w:rPr>
            </w:pPr>
            <w:r>
              <w:rPr>
                <w:rFonts w:hint="eastAsia" w:ascii="仿宋_GB2312" w:hAnsi="宋体" w:cs="宋体"/>
                <w:bCs/>
                <w:sz w:val="24"/>
                <w:szCs w:val="24"/>
              </w:rPr>
              <w:t>电位分析实训室</w:t>
            </w:r>
          </w:p>
        </w:tc>
        <w:tc>
          <w:tcPr>
            <w:tcW w:w="2010" w:type="dxa"/>
            <w:vAlign w:val="center"/>
          </w:tcPr>
          <w:p>
            <w:pPr>
              <w:spacing w:line="440" w:lineRule="exact"/>
              <w:rPr>
                <w:rFonts w:ascii="仿宋_GB2312" w:hAnsi="宋体" w:cs="宋体"/>
                <w:bCs/>
                <w:sz w:val="24"/>
                <w:szCs w:val="24"/>
              </w:rPr>
            </w:pPr>
            <w:r>
              <w:rPr>
                <w:rFonts w:hint="eastAsia" w:ascii="仿宋_GB2312" w:hAnsi="宋体" w:cs="宋体"/>
                <w:bCs/>
                <w:sz w:val="24"/>
                <w:szCs w:val="24"/>
              </w:rPr>
              <w:t>酸度计</w:t>
            </w:r>
          </w:p>
        </w:tc>
        <w:tc>
          <w:tcPr>
            <w:tcW w:w="1050" w:type="dxa"/>
            <w:vAlign w:val="center"/>
          </w:tcPr>
          <w:p>
            <w:pPr>
              <w:spacing w:line="440" w:lineRule="exact"/>
              <w:jc w:val="center"/>
              <w:rPr>
                <w:rFonts w:ascii="仿宋_GB2312" w:hAnsi="宋体" w:cs="宋体"/>
                <w:bCs/>
                <w:sz w:val="24"/>
                <w:szCs w:val="24"/>
              </w:rPr>
            </w:pPr>
            <w:r>
              <w:rPr>
                <w:rFonts w:hint="eastAsia" w:ascii="仿宋_GB2312" w:hAnsi="宋体" w:cs="宋体"/>
                <w:bCs/>
                <w:sz w:val="24"/>
                <w:szCs w:val="24"/>
              </w:rPr>
              <w:t>10台</w:t>
            </w:r>
          </w:p>
        </w:tc>
        <w:tc>
          <w:tcPr>
            <w:tcW w:w="3785" w:type="dxa"/>
            <w:vMerge w:val="restart"/>
            <w:shd w:val="clear" w:color="auto" w:fill="auto"/>
          </w:tcPr>
          <w:p>
            <w:pPr>
              <w:widowControl/>
              <w:jc w:val="left"/>
              <w:rPr>
                <w:sz w:val="24"/>
                <w:szCs w:val="24"/>
              </w:rPr>
            </w:pPr>
            <w:r>
              <w:rPr>
                <w:rFonts w:hint="eastAsia"/>
                <w:sz w:val="24"/>
                <w:szCs w:val="24"/>
              </w:rPr>
              <w:t>进行定性、定量分析等实验进行电位分析、化工工艺与石油炼油进行物质纯度测定的综合实训教学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Merge w:val="continue"/>
            <w:vAlign w:val="center"/>
          </w:tcPr>
          <w:p>
            <w:pPr>
              <w:spacing w:line="440" w:lineRule="exact"/>
              <w:rPr>
                <w:rFonts w:ascii="仿宋_GB2312" w:cs="仿宋"/>
                <w:bCs/>
                <w:sz w:val="24"/>
                <w:szCs w:val="24"/>
              </w:rPr>
            </w:pPr>
          </w:p>
        </w:tc>
        <w:tc>
          <w:tcPr>
            <w:tcW w:w="1918" w:type="dxa"/>
            <w:vMerge w:val="continue"/>
            <w:vAlign w:val="center"/>
          </w:tcPr>
          <w:p>
            <w:pPr>
              <w:spacing w:line="440" w:lineRule="exact"/>
              <w:rPr>
                <w:rFonts w:ascii="仿宋_GB2312" w:hAnsi="宋体" w:cs="宋体"/>
                <w:bCs/>
                <w:sz w:val="24"/>
                <w:szCs w:val="24"/>
              </w:rPr>
            </w:pPr>
          </w:p>
        </w:tc>
        <w:tc>
          <w:tcPr>
            <w:tcW w:w="2010" w:type="dxa"/>
            <w:vAlign w:val="center"/>
          </w:tcPr>
          <w:p>
            <w:pPr>
              <w:spacing w:line="440" w:lineRule="exact"/>
              <w:rPr>
                <w:rFonts w:ascii="仿宋_GB2312" w:hAnsi="宋体" w:cs="宋体"/>
                <w:bCs/>
                <w:sz w:val="24"/>
                <w:szCs w:val="24"/>
              </w:rPr>
            </w:pPr>
            <w:r>
              <w:rPr>
                <w:rFonts w:hint="eastAsia" w:ascii="仿宋_GB2312" w:hAnsi="宋体" w:cs="宋体"/>
                <w:bCs/>
                <w:sz w:val="24"/>
                <w:szCs w:val="24"/>
              </w:rPr>
              <w:t>自动电位滴定仪</w:t>
            </w:r>
          </w:p>
        </w:tc>
        <w:tc>
          <w:tcPr>
            <w:tcW w:w="1050" w:type="dxa"/>
            <w:vAlign w:val="center"/>
          </w:tcPr>
          <w:p>
            <w:pPr>
              <w:spacing w:line="440" w:lineRule="exact"/>
              <w:jc w:val="center"/>
              <w:rPr>
                <w:rFonts w:ascii="仿宋_GB2312" w:hAnsi="宋体" w:cs="宋体"/>
                <w:bCs/>
                <w:sz w:val="24"/>
                <w:szCs w:val="24"/>
              </w:rPr>
            </w:pPr>
            <w:r>
              <w:rPr>
                <w:rFonts w:hint="eastAsia" w:ascii="仿宋_GB2312" w:hAnsi="宋体" w:cs="宋体"/>
                <w:bCs/>
                <w:sz w:val="24"/>
                <w:szCs w:val="24"/>
              </w:rPr>
              <w:t>8台</w:t>
            </w:r>
          </w:p>
        </w:tc>
        <w:tc>
          <w:tcPr>
            <w:tcW w:w="3785" w:type="dxa"/>
            <w:vMerge w:val="continue"/>
            <w:shd w:val="clear" w:color="auto" w:fill="auto"/>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Merge w:val="restart"/>
            <w:vAlign w:val="center"/>
          </w:tcPr>
          <w:p>
            <w:pPr>
              <w:spacing w:line="440" w:lineRule="exact"/>
              <w:rPr>
                <w:rFonts w:ascii="仿宋_GB2312" w:cs="仿宋"/>
                <w:bCs/>
                <w:sz w:val="24"/>
                <w:szCs w:val="24"/>
              </w:rPr>
            </w:pPr>
            <w:r>
              <w:rPr>
                <w:rFonts w:hint="eastAsia" w:ascii="仿宋_GB2312" w:cs="仿宋"/>
                <w:bCs/>
                <w:sz w:val="24"/>
                <w:szCs w:val="24"/>
              </w:rPr>
              <w:t>5</w:t>
            </w:r>
          </w:p>
          <w:p>
            <w:pPr>
              <w:spacing w:line="440" w:lineRule="exact"/>
              <w:rPr>
                <w:rFonts w:ascii="仿宋_GB2312" w:cs="仿宋"/>
                <w:bCs/>
                <w:sz w:val="24"/>
                <w:szCs w:val="24"/>
              </w:rPr>
            </w:pPr>
          </w:p>
        </w:tc>
        <w:tc>
          <w:tcPr>
            <w:tcW w:w="1918" w:type="dxa"/>
            <w:vMerge w:val="restart"/>
            <w:vAlign w:val="center"/>
          </w:tcPr>
          <w:p>
            <w:pPr>
              <w:spacing w:line="440" w:lineRule="exact"/>
              <w:rPr>
                <w:rFonts w:ascii="仿宋_GB2312" w:hAnsi="宋体" w:cs="宋体"/>
                <w:bCs/>
                <w:sz w:val="24"/>
                <w:szCs w:val="24"/>
              </w:rPr>
            </w:pPr>
            <w:r>
              <w:rPr>
                <w:rFonts w:hint="eastAsia" w:ascii="仿宋_GB2312" w:hAnsi="宋体" w:cs="宋体"/>
                <w:bCs/>
                <w:sz w:val="24"/>
                <w:szCs w:val="24"/>
              </w:rPr>
              <w:t>食品微生物检验设备实训室</w:t>
            </w:r>
          </w:p>
          <w:p>
            <w:pPr>
              <w:spacing w:line="440" w:lineRule="exact"/>
              <w:rPr>
                <w:rFonts w:ascii="仿宋_GB2312" w:hAnsi="宋体" w:cs="宋体"/>
                <w:bCs/>
                <w:sz w:val="24"/>
                <w:szCs w:val="24"/>
              </w:rPr>
            </w:pPr>
          </w:p>
        </w:tc>
        <w:tc>
          <w:tcPr>
            <w:tcW w:w="2010" w:type="dxa"/>
            <w:vAlign w:val="center"/>
          </w:tcPr>
          <w:p>
            <w:pPr>
              <w:spacing w:line="440" w:lineRule="exact"/>
              <w:rPr>
                <w:rFonts w:ascii="仿宋_GB2312" w:hAnsi="宋体" w:cs="宋体"/>
                <w:bCs/>
                <w:sz w:val="24"/>
                <w:szCs w:val="24"/>
              </w:rPr>
            </w:pPr>
            <w:r>
              <w:rPr>
                <w:rFonts w:hint="eastAsia" w:ascii="仿宋_GB2312" w:hAnsi="宋体" w:cs="宋体"/>
                <w:bCs/>
                <w:sz w:val="24"/>
                <w:szCs w:val="24"/>
              </w:rPr>
              <w:t>高倍显微镜</w:t>
            </w:r>
          </w:p>
        </w:tc>
        <w:tc>
          <w:tcPr>
            <w:tcW w:w="1050" w:type="dxa"/>
            <w:vAlign w:val="center"/>
          </w:tcPr>
          <w:p>
            <w:pPr>
              <w:spacing w:line="440" w:lineRule="exact"/>
              <w:jc w:val="center"/>
              <w:rPr>
                <w:rFonts w:ascii="仿宋_GB2312" w:hAnsi="宋体" w:cs="宋体"/>
                <w:bCs/>
                <w:sz w:val="24"/>
                <w:szCs w:val="24"/>
              </w:rPr>
            </w:pPr>
            <w:r>
              <w:rPr>
                <w:rFonts w:hint="eastAsia" w:ascii="仿宋_GB2312" w:hAnsi="宋体" w:cs="宋体"/>
                <w:bCs/>
                <w:sz w:val="24"/>
                <w:szCs w:val="24"/>
              </w:rPr>
              <w:t>2台</w:t>
            </w:r>
          </w:p>
        </w:tc>
        <w:tc>
          <w:tcPr>
            <w:tcW w:w="3785" w:type="dxa"/>
            <w:vMerge w:val="restart"/>
            <w:shd w:val="clear" w:color="auto" w:fill="auto"/>
          </w:tcPr>
          <w:p>
            <w:pPr>
              <w:widowControl/>
              <w:jc w:val="left"/>
              <w:rPr>
                <w:sz w:val="24"/>
                <w:szCs w:val="24"/>
              </w:rPr>
            </w:pPr>
            <w:r>
              <w:rPr>
                <w:rFonts w:hint="eastAsia"/>
                <w:sz w:val="24"/>
                <w:szCs w:val="24"/>
              </w:rPr>
              <w:t>进行淀粉的显色和水解、油脂酸价的测定、乳粉中脂肪含量的测定、蛋白质的呈色反应、酶的性质实验、面粉中灰分含量的测定、盐酸含量的测定、混合碱含量的测定、水硬度的测定、矿泉水中铜的测定、微量铁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Merge w:val="continue"/>
            <w:vAlign w:val="center"/>
          </w:tcPr>
          <w:p>
            <w:pPr>
              <w:spacing w:line="440" w:lineRule="exact"/>
              <w:rPr>
                <w:rFonts w:ascii="仿宋_GB2312" w:cs="仿宋"/>
                <w:bCs/>
                <w:sz w:val="24"/>
                <w:szCs w:val="24"/>
              </w:rPr>
            </w:pPr>
          </w:p>
        </w:tc>
        <w:tc>
          <w:tcPr>
            <w:tcW w:w="1918" w:type="dxa"/>
            <w:vMerge w:val="continue"/>
            <w:vAlign w:val="center"/>
          </w:tcPr>
          <w:p>
            <w:pPr>
              <w:spacing w:line="440" w:lineRule="exact"/>
              <w:rPr>
                <w:rFonts w:ascii="仿宋_GB2312" w:hAnsi="宋体" w:cs="宋体"/>
                <w:bCs/>
                <w:sz w:val="24"/>
                <w:szCs w:val="24"/>
              </w:rPr>
            </w:pPr>
          </w:p>
        </w:tc>
        <w:tc>
          <w:tcPr>
            <w:tcW w:w="2010" w:type="dxa"/>
            <w:vAlign w:val="center"/>
          </w:tcPr>
          <w:p>
            <w:pPr>
              <w:spacing w:line="440" w:lineRule="exact"/>
              <w:rPr>
                <w:rFonts w:ascii="仿宋_GB2312" w:hAnsi="宋体" w:cs="宋体"/>
                <w:bCs/>
                <w:sz w:val="24"/>
                <w:szCs w:val="24"/>
              </w:rPr>
            </w:pPr>
            <w:r>
              <w:rPr>
                <w:rFonts w:hint="eastAsia" w:ascii="仿宋_GB2312" w:hAnsi="宋体" w:cs="宋体"/>
                <w:bCs/>
                <w:sz w:val="24"/>
                <w:szCs w:val="24"/>
              </w:rPr>
              <w:t>无菌操作台</w:t>
            </w:r>
          </w:p>
        </w:tc>
        <w:tc>
          <w:tcPr>
            <w:tcW w:w="1050" w:type="dxa"/>
            <w:vAlign w:val="center"/>
          </w:tcPr>
          <w:p>
            <w:pPr>
              <w:spacing w:line="440" w:lineRule="exact"/>
              <w:jc w:val="center"/>
              <w:rPr>
                <w:rFonts w:ascii="仿宋_GB2312" w:hAnsi="宋体" w:cs="宋体"/>
                <w:bCs/>
                <w:sz w:val="24"/>
                <w:szCs w:val="24"/>
              </w:rPr>
            </w:pPr>
            <w:r>
              <w:rPr>
                <w:rFonts w:hint="eastAsia" w:ascii="仿宋_GB2312" w:hAnsi="宋体" w:cs="宋体"/>
                <w:bCs/>
                <w:sz w:val="24"/>
                <w:szCs w:val="24"/>
              </w:rPr>
              <w:t>6台</w:t>
            </w:r>
          </w:p>
        </w:tc>
        <w:tc>
          <w:tcPr>
            <w:tcW w:w="3785" w:type="dxa"/>
            <w:vMerge w:val="continue"/>
            <w:shd w:val="clear" w:color="auto" w:fill="auto"/>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Merge w:val="continue"/>
            <w:vAlign w:val="center"/>
          </w:tcPr>
          <w:p>
            <w:pPr>
              <w:spacing w:line="440" w:lineRule="exact"/>
              <w:rPr>
                <w:rFonts w:ascii="仿宋_GB2312" w:cs="仿宋"/>
                <w:bCs/>
                <w:sz w:val="24"/>
                <w:szCs w:val="24"/>
              </w:rPr>
            </w:pPr>
          </w:p>
        </w:tc>
        <w:tc>
          <w:tcPr>
            <w:tcW w:w="1918" w:type="dxa"/>
            <w:vMerge w:val="continue"/>
            <w:vAlign w:val="center"/>
          </w:tcPr>
          <w:p>
            <w:pPr>
              <w:spacing w:line="440" w:lineRule="exact"/>
              <w:rPr>
                <w:rFonts w:ascii="仿宋_GB2312" w:hAnsi="宋体" w:cs="宋体"/>
                <w:bCs/>
                <w:sz w:val="24"/>
                <w:szCs w:val="24"/>
              </w:rPr>
            </w:pPr>
          </w:p>
        </w:tc>
        <w:tc>
          <w:tcPr>
            <w:tcW w:w="2010" w:type="dxa"/>
            <w:vAlign w:val="center"/>
          </w:tcPr>
          <w:p>
            <w:pPr>
              <w:spacing w:line="440" w:lineRule="exact"/>
              <w:rPr>
                <w:rFonts w:ascii="仿宋_GB2312" w:hAnsi="宋体" w:cs="宋体"/>
                <w:bCs/>
                <w:sz w:val="24"/>
                <w:szCs w:val="24"/>
              </w:rPr>
            </w:pPr>
            <w:r>
              <w:rPr>
                <w:rFonts w:hint="eastAsia" w:ascii="仿宋_GB2312" w:hAnsi="宋体" w:cs="宋体"/>
                <w:bCs/>
                <w:sz w:val="24"/>
                <w:szCs w:val="24"/>
              </w:rPr>
              <w:t>全自动高压蒸汽灭菌器</w:t>
            </w:r>
          </w:p>
        </w:tc>
        <w:tc>
          <w:tcPr>
            <w:tcW w:w="1050" w:type="dxa"/>
            <w:vAlign w:val="center"/>
          </w:tcPr>
          <w:p>
            <w:pPr>
              <w:spacing w:line="440" w:lineRule="exact"/>
              <w:jc w:val="center"/>
              <w:rPr>
                <w:rFonts w:ascii="仿宋_GB2312" w:hAnsi="宋体" w:cs="宋体"/>
                <w:bCs/>
                <w:sz w:val="24"/>
                <w:szCs w:val="24"/>
              </w:rPr>
            </w:pPr>
            <w:r>
              <w:rPr>
                <w:rFonts w:hint="eastAsia" w:ascii="仿宋_GB2312" w:hAnsi="宋体" w:cs="宋体"/>
                <w:bCs/>
                <w:sz w:val="24"/>
                <w:szCs w:val="24"/>
              </w:rPr>
              <w:t>2个</w:t>
            </w:r>
          </w:p>
        </w:tc>
        <w:tc>
          <w:tcPr>
            <w:tcW w:w="3785" w:type="dxa"/>
            <w:vMerge w:val="continue"/>
            <w:shd w:val="clear" w:color="auto" w:fill="auto"/>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Merge w:val="restart"/>
            <w:vAlign w:val="center"/>
          </w:tcPr>
          <w:p>
            <w:pPr>
              <w:spacing w:line="440" w:lineRule="exact"/>
              <w:rPr>
                <w:rFonts w:ascii="仿宋_GB2312" w:cs="仿宋"/>
                <w:bCs/>
                <w:sz w:val="24"/>
                <w:szCs w:val="24"/>
              </w:rPr>
            </w:pPr>
            <w:r>
              <w:rPr>
                <w:rFonts w:hint="eastAsia" w:ascii="仿宋_GB2312" w:cs="仿宋"/>
                <w:bCs/>
                <w:sz w:val="24"/>
                <w:szCs w:val="24"/>
              </w:rPr>
              <w:t>6</w:t>
            </w:r>
          </w:p>
        </w:tc>
        <w:tc>
          <w:tcPr>
            <w:tcW w:w="1918" w:type="dxa"/>
            <w:vMerge w:val="restart"/>
            <w:vAlign w:val="center"/>
          </w:tcPr>
          <w:p>
            <w:pPr>
              <w:spacing w:line="440" w:lineRule="exact"/>
              <w:rPr>
                <w:rFonts w:ascii="仿宋_GB2312" w:hAnsi="宋体" w:cs="宋体"/>
                <w:bCs/>
                <w:sz w:val="24"/>
                <w:szCs w:val="24"/>
              </w:rPr>
            </w:pPr>
            <w:r>
              <w:rPr>
                <w:rFonts w:hint="eastAsia" w:ascii="仿宋_GB2312" w:hAnsi="宋体" w:cs="宋体"/>
                <w:bCs/>
                <w:sz w:val="24"/>
                <w:szCs w:val="24"/>
              </w:rPr>
              <w:t>大型分析仪器实训室</w:t>
            </w:r>
          </w:p>
        </w:tc>
        <w:tc>
          <w:tcPr>
            <w:tcW w:w="2010" w:type="dxa"/>
            <w:vAlign w:val="center"/>
          </w:tcPr>
          <w:p>
            <w:pPr>
              <w:spacing w:line="440" w:lineRule="exact"/>
              <w:rPr>
                <w:rFonts w:ascii="仿宋_GB2312" w:hAnsi="宋体" w:cs="宋体"/>
                <w:bCs/>
                <w:sz w:val="24"/>
                <w:szCs w:val="24"/>
              </w:rPr>
            </w:pPr>
            <w:r>
              <w:rPr>
                <w:rFonts w:hint="eastAsia" w:ascii="仿宋_GB2312" w:hAnsi="宋体" w:cs="宋体"/>
                <w:bCs/>
                <w:sz w:val="24"/>
                <w:szCs w:val="24"/>
              </w:rPr>
              <w:t>原子吸收分光光度计</w:t>
            </w:r>
          </w:p>
        </w:tc>
        <w:tc>
          <w:tcPr>
            <w:tcW w:w="1050" w:type="dxa"/>
            <w:vAlign w:val="center"/>
          </w:tcPr>
          <w:p>
            <w:pPr>
              <w:spacing w:line="440" w:lineRule="exact"/>
              <w:jc w:val="center"/>
              <w:rPr>
                <w:rFonts w:ascii="仿宋_GB2312"/>
                <w:sz w:val="24"/>
                <w:szCs w:val="24"/>
              </w:rPr>
            </w:pPr>
            <w:r>
              <w:rPr>
                <w:rFonts w:hint="eastAsia" w:ascii="仿宋_GB2312"/>
                <w:sz w:val="24"/>
                <w:szCs w:val="24"/>
              </w:rPr>
              <w:t>3台</w:t>
            </w:r>
          </w:p>
        </w:tc>
        <w:tc>
          <w:tcPr>
            <w:tcW w:w="3785" w:type="dxa"/>
            <w:vMerge w:val="restart"/>
            <w:shd w:val="clear" w:color="auto" w:fill="auto"/>
          </w:tcPr>
          <w:p>
            <w:pPr>
              <w:widowControl/>
              <w:jc w:val="left"/>
              <w:rPr>
                <w:sz w:val="24"/>
                <w:szCs w:val="24"/>
              </w:rPr>
            </w:pPr>
            <w:r>
              <w:rPr>
                <w:rFonts w:hint="eastAsia"/>
                <w:sz w:val="24"/>
                <w:szCs w:val="24"/>
              </w:rPr>
              <w:t>1.气相色谱仪主要应用于物质的简单定性和物质含量的分析。</w:t>
            </w:r>
          </w:p>
          <w:p>
            <w:pPr>
              <w:widowControl/>
              <w:jc w:val="left"/>
              <w:rPr>
                <w:sz w:val="24"/>
                <w:szCs w:val="24"/>
              </w:rPr>
            </w:pPr>
            <w:r>
              <w:rPr>
                <w:rFonts w:hint="eastAsia"/>
                <w:sz w:val="24"/>
                <w:szCs w:val="24"/>
              </w:rPr>
              <w:t>2.原子吸收分光光度计主要应用于物质在近紫外-可见光区中有吸收的元素的物质的微量或痕量含量的分析。</w:t>
            </w:r>
          </w:p>
          <w:p>
            <w:pPr>
              <w:widowControl/>
              <w:jc w:val="left"/>
              <w:rPr>
                <w:sz w:val="24"/>
                <w:szCs w:val="24"/>
              </w:rPr>
            </w:pPr>
            <w:r>
              <w:rPr>
                <w:rFonts w:hint="eastAsia"/>
                <w:sz w:val="24"/>
                <w:szCs w:val="24"/>
              </w:rPr>
              <w:t>3.归一化法测苯及苯同系物的测定、乙醇中微量水分的测定，内标法测定丙酮含量，水中微量铁、硅、铜、铝、锰等元素微量含量的测定。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Merge w:val="continue"/>
            <w:vAlign w:val="center"/>
          </w:tcPr>
          <w:p>
            <w:pPr>
              <w:spacing w:line="440" w:lineRule="exact"/>
              <w:rPr>
                <w:rFonts w:ascii="仿宋_GB2312" w:cs="仿宋"/>
                <w:bCs/>
                <w:sz w:val="24"/>
                <w:szCs w:val="24"/>
              </w:rPr>
            </w:pPr>
          </w:p>
        </w:tc>
        <w:tc>
          <w:tcPr>
            <w:tcW w:w="1918" w:type="dxa"/>
            <w:vMerge w:val="continue"/>
            <w:vAlign w:val="center"/>
          </w:tcPr>
          <w:p>
            <w:pPr>
              <w:spacing w:line="440" w:lineRule="exact"/>
              <w:rPr>
                <w:rFonts w:ascii="仿宋_GB2312" w:hAnsi="宋体" w:cs="宋体"/>
                <w:bCs/>
                <w:sz w:val="24"/>
                <w:szCs w:val="24"/>
              </w:rPr>
            </w:pPr>
          </w:p>
        </w:tc>
        <w:tc>
          <w:tcPr>
            <w:tcW w:w="2010" w:type="dxa"/>
            <w:vAlign w:val="center"/>
          </w:tcPr>
          <w:p>
            <w:pPr>
              <w:spacing w:line="440" w:lineRule="exact"/>
              <w:rPr>
                <w:rFonts w:ascii="仿宋_GB2312" w:hAnsi="宋体" w:cs="宋体"/>
                <w:bCs/>
                <w:sz w:val="24"/>
                <w:szCs w:val="24"/>
              </w:rPr>
            </w:pPr>
            <w:r>
              <w:rPr>
                <w:rFonts w:hint="eastAsia" w:ascii="仿宋_GB2312" w:hAnsi="宋体" w:cs="宋体"/>
                <w:bCs/>
                <w:sz w:val="24"/>
                <w:szCs w:val="24"/>
              </w:rPr>
              <w:t>气相色谱仪</w:t>
            </w:r>
          </w:p>
        </w:tc>
        <w:tc>
          <w:tcPr>
            <w:tcW w:w="1050" w:type="dxa"/>
            <w:vAlign w:val="center"/>
          </w:tcPr>
          <w:p>
            <w:pPr>
              <w:spacing w:line="440" w:lineRule="exact"/>
              <w:jc w:val="center"/>
              <w:rPr>
                <w:rFonts w:ascii="仿宋_GB2312"/>
                <w:sz w:val="24"/>
                <w:szCs w:val="24"/>
              </w:rPr>
            </w:pPr>
            <w:r>
              <w:rPr>
                <w:rFonts w:hint="eastAsia" w:ascii="仿宋_GB2312"/>
                <w:sz w:val="24"/>
                <w:szCs w:val="24"/>
              </w:rPr>
              <w:t>7台</w:t>
            </w:r>
          </w:p>
        </w:tc>
        <w:tc>
          <w:tcPr>
            <w:tcW w:w="3785" w:type="dxa"/>
            <w:vMerge w:val="continue"/>
            <w:shd w:val="clear" w:color="auto" w:fill="auto"/>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 w:type="dxa"/>
            <w:vMerge w:val="continue"/>
            <w:vAlign w:val="center"/>
          </w:tcPr>
          <w:p>
            <w:pPr>
              <w:spacing w:line="440" w:lineRule="exact"/>
              <w:rPr>
                <w:rFonts w:ascii="仿宋_GB2312" w:cs="仿宋"/>
                <w:bCs/>
                <w:sz w:val="24"/>
                <w:szCs w:val="24"/>
              </w:rPr>
            </w:pPr>
          </w:p>
        </w:tc>
        <w:tc>
          <w:tcPr>
            <w:tcW w:w="1918" w:type="dxa"/>
            <w:vMerge w:val="continue"/>
            <w:vAlign w:val="center"/>
          </w:tcPr>
          <w:p>
            <w:pPr>
              <w:spacing w:line="440" w:lineRule="exact"/>
              <w:rPr>
                <w:rFonts w:ascii="仿宋_GB2312" w:hAnsi="宋体" w:cs="宋体"/>
                <w:bCs/>
                <w:sz w:val="24"/>
                <w:szCs w:val="24"/>
              </w:rPr>
            </w:pPr>
          </w:p>
        </w:tc>
        <w:tc>
          <w:tcPr>
            <w:tcW w:w="2010" w:type="dxa"/>
            <w:vAlign w:val="center"/>
          </w:tcPr>
          <w:p>
            <w:pPr>
              <w:spacing w:line="440" w:lineRule="exact"/>
              <w:rPr>
                <w:rFonts w:ascii="仿宋_GB2312" w:hAnsi="宋体" w:cs="宋体"/>
                <w:bCs/>
                <w:sz w:val="24"/>
                <w:szCs w:val="24"/>
              </w:rPr>
            </w:pPr>
            <w:r>
              <w:rPr>
                <w:rFonts w:hint="eastAsia" w:ascii="仿宋_GB2312" w:hAnsi="宋体" w:cs="宋体"/>
                <w:bCs/>
                <w:sz w:val="24"/>
                <w:szCs w:val="24"/>
              </w:rPr>
              <w:t>液相色谱仪</w:t>
            </w:r>
          </w:p>
        </w:tc>
        <w:tc>
          <w:tcPr>
            <w:tcW w:w="1050" w:type="dxa"/>
            <w:vAlign w:val="center"/>
          </w:tcPr>
          <w:p>
            <w:pPr>
              <w:spacing w:line="440" w:lineRule="exact"/>
              <w:jc w:val="center"/>
              <w:rPr>
                <w:rFonts w:ascii="仿宋_GB2312"/>
                <w:sz w:val="24"/>
                <w:szCs w:val="24"/>
              </w:rPr>
            </w:pPr>
            <w:r>
              <w:rPr>
                <w:rFonts w:hint="eastAsia" w:ascii="仿宋_GB2312"/>
                <w:sz w:val="24"/>
                <w:szCs w:val="24"/>
              </w:rPr>
              <w:t>2台</w:t>
            </w:r>
          </w:p>
        </w:tc>
        <w:tc>
          <w:tcPr>
            <w:tcW w:w="3785" w:type="dxa"/>
            <w:vMerge w:val="continue"/>
            <w:shd w:val="clear" w:color="auto" w:fill="auto"/>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623" w:type="dxa"/>
            <w:vMerge w:val="continue"/>
            <w:vAlign w:val="center"/>
          </w:tcPr>
          <w:p>
            <w:pPr>
              <w:spacing w:line="440" w:lineRule="exact"/>
              <w:rPr>
                <w:rFonts w:ascii="仿宋_GB2312" w:cs="仿宋"/>
                <w:bCs/>
                <w:sz w:val="24"/>
                <w:szCs w:val="24"/>
              </w:rPr>
            </w:pPr>
          </w:p>
        </w:tc>
        <w:tc>
          <w:tcPr>
            <w:tcW w:w="1918" w:type="dxa"/>
            <w:vMerge w:val="continue"/>
            <w:vAlign w:val="center"/>
          </w:tcPr>
          <w:p>
            <w:pPr>
              <w:spacing w:line="440" w:lineRule="exact"/>
              <w:rPr>
                <w:rFonts w:ascii="仿宋_GB2312" w:hAnsi="宋体" w:cs="宋体"/>
                <w:bCs/>
                <w:sz w:val="24"/>
                <w:szCs w:val="24"/>
              </w:rPr>
            </w:pPr>
          </w:p>
        </w:tc>
        <w:tc>
          <w:tcPr>
            <w:tcW w:w="2010" w:type="dxa"/>
            <w:vAlign w:val="center"/>
          </w:tcPr>
          <w:p>
            <w:pPr>
              <w:spacing w:line="440" w:lineRule="exact"/>
              <w:rPr>
                <w:rFonts w:ascii="仿宋_GB2312" w:hAnsi="宋体" w:cs="宋体"/>
                <w:bCs/>
                <w:sz w:val="24"/>
                <w:szCs w:val="24"/>
              </w:rPr>
            </w:pPr>
            <w:r>
              <w:rPr>
                <w:rFonts w:hint="eastAsia" w:ascii="仿宋_GB2312" w:hAnsi="宋体" w:cs="宋体"/>
                <w:bCs/>
                <w:sz w:val="24"/>
                <w:szCs w:val="24"/>
              </w:rPr>
              <w:t>原子荧光仪</w:t>
            </w:r>
          </w:p>
        </w:tc>
        <w:tc>
          <w:tcPr>
            <w:tcW w:w="1050" w:type="dxa"/>
            <w:vAlign w:val="center"/>
          </w:tcPr>
          <w:p>
            <w:pPr>
              <w:spacing w:line="440" w:lineRule="exact"/>
              <w:jc w:val="center"/>
              <w:rPr>
                <w:rFonts w:ascii="仿宋_GB2312"/>
                <w:sz w:val="24"/>
                <w:szCs w:val="24"/>
              </w:rPr>
            </w:pPr>
            <w:r>
              <w:rPr>
                <w:rFonts w:hint="eastAsia" w:ascii="仿宋_GB2312"/>
                <w:sz w:val="24"/>
                <w:szCs w:val="24"/>
              </w:rPr>
              <w:t>1台</w:t>
            </w:r>
          </w:p>
        </w:tc>
        <w:tc>
          <w:tcPr>
            <w:tcW w:w="3785" w:type="dxa"/>
            <w:vMerge w:val="continue"/>
            <w:shd w:val="clear" w:color="auto" w:fill="auto"/>
          </w:tcPr>
          <w:p>
            <w:pPr>
              <w:widowControl/>
              <w:jc w:val="left"/>
              <w:rPr>
                <w:sz w:val="24"/>
                <w:szCs w:val="24"/>
              </w:rPr>
            </w:pPr>
          </w:p>
        </w:tc>
      </w:tr>
    </w:tbl>
    <w:p>
      <w:pPr>
        <w:pStyle w:val="16"/>
        <w:spacing w:line="560" w:lineRule="exact"/>
        <w:ind w:firstLine="560"/>
        <w:rPr>
          <w:rFonts w:ascii="仿宋" w:hAnsi="仿宋" w:eastAsia="仿宋" w:cs="仿宋"/>
          <w:color w:val="000000"/>
          <w:kern w:val="2"/>
          <w:sz w:val="28"/>
          <w:szCs w:val="28"/>
        </w:rPr>
      </w:pPr>
      <w:r>
        <w:rPr>
          <w:rFonts w:hint="eastAsia" w:ascii="仿宋" w:hAnsi="仿宋" w:eastAsia="仿宋" w:cs="仿宋"/>
          <w:color w:val="000000"/>
          <w:kern w:val="2"/>
          <w:sz w:val="28"/>
          <w:szCs w:val="28"/>
        </w:rPr>
        <w:t>2. 校外实训基地</w:t>
      </w:r>
    </w:p>
    <w:p>
      <w:pPr>
        <w:pStyle w:val="16"/>
        <w:spacing w:line="560" w:lineRule="exact"/>
        <w:ind w:firstLine="560"/>
        <w:jc w:val="left"/>
        <w:rPr>
          <w:rFonts w:hint="eastAsia" w:ascii="仿宋" w:hAnsi="仿宋" w:eastAsia="仿宋" w:cs="仿宋"/>
          <w:color w:val="000000"/>
          <w:kern w:val="2"/>
          <w:sz w:val="28"/>
          <w:szCs w:val="28"/>
          <w:lang w:eastAsia="zh-CN"/>
        </w:rPr>
      </w:pPr>
      <w:r>
        <w:rPr>
          <w:rFonts w:hint="eastAsia" w:ascii="仿宋" w:hAnsi="仿宋" w:eastAsia="仿宋" w:cs="仿宋"/>
          <w:color w:val="000000"/>
          <w:kern w:val="2"/>
          <w:sz w:val="28"/>
          <w:szCs w:val="28"/>
        </w:rPr>
        <w:t>校外实训基地作为教学的有机组成部分，要大力开展与企业的共建校外实训基地，要求覆盖化工、石油、冶金、环保等行业，满足学生校外教学实习的需要。在学生职业发展的高级阶段，或在教学条件不满足的情况下，结合课程教学需要，可采取灵活、弹性的教学计划实施工学交替，安排学生校外教学实习和顶岗实习。</w:t>
      </w:r>
    </w:p>
    <w:p>
      <w:pPr>
        <w:pStyle w:val="16"/>
        <w:spacing w:line="560" w:lineRule="exact"/>
        <w:ind w:firstLine="560"/>
        <w:jc w:val="left"/>
        <w:rPr>
          <w:rFonts w:hint="eastAsia" w:ascii="仿宋" w:hAnsi="仿宋" w:eastAsia="仿宋" w:cs="仿宋"/>
          <w:color w:val="000000"/>
          <w:kern w:val="2"/>
          <w:sz w:val="28"/>
          <w:szCs w:val="28"/>
          <w:lang w:eastAsia="zh-CN"/>
        </w:rPr>
      </w:pPr>
      <w:r>
        <w:rPr>
          <w:rFonts w:hint="eastAsia" w:ascii="仿宋" w:hAnsi="仿宋" w:eastAsia="仿宋" w:cs="仿宋"/>
          <w:color w:val="000000"/>
          <w:kern w:val="2"/>
          <w:sz w:val="28"/>
          <w:szCs w:val="28"/>
        </w:rPr>
        <w:t xml:space="preserve">     建立氯碱产品分析、合成氨产品分析、生产安全分析、油品分析、铝产品分析、锰产品分析和环境检测企业七大类别的校外实训基地。教学实习、工学交替、顶岗实习等课程必须要依靠校外实训基地来完成。</w:t>
      </w:r>
    </w:p>
    <w:p>
      <w:pPr>
        <w:pStyle w:val="16"/>
        <w:spacing w:line="560" w:lineRule="exact"/>
        <w:ind w:firstLine="560"/>
        <w:jc w:val="left"/>
        <w:rPr>
          <w:rFonts w:ascii="仿宋" w:hAnsi="仿宋" w:eastAsia="仿宋" w:cs="仿宋"/>
          <w:color w:val="000000"/>
          <w:kern w:val="2"/>
          <w:sz w:val="28"/>
          <w:szCs w:val="28"/>
        </w:rPr>
      </w:pPr>
      <w:r>
        <w:rPr>
          <w:rFonts w:hint="eastAsia" w:ascii="仿宋" w:hAnsi="仿宋" w:eastAsia="仿宋" w:cs="仿宋"/>
          <w:color w:val="000000"/>
          <w:kern w:val="2"/>
          <w:sz w:val="28"/>
          <w:szCs w:val="28"/>
        </w:rPr>
        <w:t xml:space="preserve">    （1）氯碱产品分析和环境检测学习领域对接南宁化工股份有限公司校外实地；                                              </w:t>
      </w:r>
    </w:p>
    <w:p>
      <w:pPr>
        <w:pStyle w:val="16"/>
        <w:spacing w:line="560" w:lineRule="exact"/>
        <w:ind w:firstLine="560"/>
        <w:jc w:val="left"/>
        <w:rPr>
          <w:rFonts w:hint="eastAsia" w:ascii="仿宋" w:hAnsi="仿宋" w:eastAsia="仿宋" w:cs="仿宋"/>
          <w:color w:val="000000"/>
          <w:kern w:val="2"/>
          <w:sz w:val="28"/>
          <w:szCs w:val="28"/>
          <w:lang w:eastAsia="zh-CN"/>
        </w:rPr>
      </w:pPr>
      <w:r>
        <w:rPr>
          <w:rFonts w:hint="eastAsia" w:ascii="仿宋" w:hAnsi="仿宋" w:eastAsia="仿宋" w:cs="仿宋"/>
          <w:color w:val="000000"/>
          <w:kern w:val="2"/>
          <w:sz w:val="28"/>
          <w:szCs w:val="28"/>
        </w:rPr>
        <w:t>（2）合成氨产品分析和生产安全分析学习领域对接柳州化工股份有限公司校外实训基地；</w:t>
      </w:r>
    </w:p>
    <w:p>
      <w:pPr>
        <w:pStyle w:val="16"/>
        <w:spacing w:line="560" w:lineRule="exact"/>
        <w:ind w:firstLine="560"/>
        <w:jc w:val="left"/>
        <w:rPr>
          <w:rFonts w:hint="eastAsia" w:ascii="仿宋" w:hAnsi="仿宋" w:eastAsia="仿宋" w:cs="仿宋"/>
          <w:color w:val="000000"/>
          <w:kern w:val="2"/>
          <w:sz w:val="28"/>
          <w:szCs w:val="28"/>
          <w:lang w:eastAsia="zh-CN"/>
        </w:rPr>
      </w:pPr>
      <w:r>
        <w:rPr>
          <w:rFonts w:hint="eastAsia" w:ascii="仿宋" w:hAnsi="仿宋" w:eastAsia="仿宋" w:cs="仿宋"/>
          <w:color w:val="000000"/>
          <w:kern w:val="2"/>
          <w:sz w:val="28"/>
          <w:szCs w:val="28"/>
        </w:rPr>
        <w:t xml:space="preserve">    （3）油品分析学习领域对接中油广西田东石油化工总厂有限公司校外实训基地；</w:t>
      </w:r>
    </w:p>
    <w:p>
      <w:pPr>
        <w:pStyle w:val="16"/>
        <w:spacing w:line="560" w:lineRule="exact"/>
        <w:ind w:firstLine="560"/>
        <w:jc w:val="left"/>
        <w:rPr>
          <w:rFonts w:hint="eastAsia" w:ascii="仿宋" w:hAnsi="仿宋" w:eastAsia="仿宋" w:cs="仿宋"/>
          <w:color w:val="000000"/>
          <w:kern w:val="2"/>
          <w:sz w:val="28"/>
          <w:szCs w:val="28"/>
          <w:lang w:eastAsia="zh-CN"/>
        </w:rPr>
      </w:pPr>
      <w:r>
        <w:rPr>
          <w:rFonts w:hint="eastAsia" w:ascii="仿宋" w:hAnsi="仿宋" w:eastAsia="仿宋" w:cs="仿宋"/>
          <w:color w:val="000000"/>
          <w:kern w:val="2"/>
          <w:sz w:val="28"/>
          <w:szCs w:val="28"/>
        </w:rPr>
        <w:t xml:space="preserve">    （4）铝产品分析学习领域对接中铝广西分公司校外实训基地；</w:t>
      </w:r>
    </w:p>
    <w:p>
      <w:pPr>
        <w:pStyle w:val="16"/>
        <w:spacing w:line="560" w:lineRule="exact"/>
        <w:ind w:firstLine="560"/>
        <w:jc w:val="left"/>
        <w:rPr>
          <w:rFonts w:ascii="仿宋" w:hAnsi="仿宋" w:eastAsia="仿宋" w:cs="仿宋"/>
          <w:color w:val="000000"/>
          <w:kern w:val="2"/>
          <w:sz w:val="28"/>
          <w:szCs w:val="28"/>
        </w:rPr>
      </w:pPr>
      <w:r>
        <w:rPr>
          <w:rFonts w:hint="eastAsia" w:ascii="仿宋" w:hAnsi="仿宋" w:eastAsia="仿宋" w:cs="仿宋"/>
          <w:color w:val="000000"/>
          <w:kern w:val="2"/>
          <w:sz w:val="28"/>
          <w:szCs w:val="28"/>
        </w:rPr>
        <w:t xml:space="preserve">    （5）锰产品分析学习领域对接中信大锰矿业有限责任公司校外实训基地。</w:t>
      </w:r>
    </w:p>
    <w:p>
      <w:pPr>
        <w:pStyle w:val="16"/>
        <w:spacing w:line="560" w:lineRule="exact"/>
        <w:ind w:firstLine="560"/>
        <w:rPr>
          <w:rFonts w:ascii="仿宋" w:hAnsi="仿宋" w:eastAsia="仿宋" w:cs="仿宋"/>
          <w:color w:val="000000"/>
          <w:kern w:val="2"/>
          <w:sz w:val="28"/>
          <w:szCs w:val="28"/>
        </w:rPr>
      </w:pPr>
      <w:r>
        <w:rPr>
          <w:rFonts w:hint="eastAsia" w:ascii="仿宋" w:hAnsi="仿宋" w:eastAsia="仿宋" w:cs="仿宋"/>
          <w:color w:val="000000"/>
          <w:kern w:val="2"/>
          <w:sz w:val="28"/>
          <w:szCs w:val="28"/>
        </w:rPr>
        <w:t>3.校内一体化学习工作站</w:t>
      </w:r>
    </w:p>
    <w:p>
      <w:pPr>
        <w:pStyle w:val="16"/>
        <w:spacing w:line="560" w:lineRule="exact"/>
        <w:ind w:firstLine="560"/>
        <w:rPr>
          <w:rFonts w:ascii="仿宋" w:hAnsi="仿宋" w:eastAsia="仿宋" w:cs="仿宋"/>
          <w:sz w:val="28"/>
          <w:szCs w:val="28"/>
        </w:rPr>
      </w:pPr>
      <w:r>
        <w:rPr>
          <w:rFonts w:hint="eastAsia" w:ascii="仿宋" w:hAnsi="仿宋" w:eastAsia="仿宋" w:cs="仿宋"/>
          <w:color w:val="000000"/>
          <w:kern w:val="2"/>
          <w:sz w:val="28"/>
          <w:szCs w:val="28"/>
        </w:rPr>
        <w:t>建设工业分析与检验专业一体化教室，参照企业真实工作环境，针对化学检验工岗位和一体化教学的要求，设立一体化教室的信息检索区、教学讨论区、实训区，根据学习工作任务，配备相应的实验实习仪器设备和化学试剂</w:t>
      </w:r>
      <w:r>
        <w:rPr>
          <w:rFonts w:hint="eastAsia" w:ascii="仿宋" w:hAnsi="仿宋" w:eastAsia="仿宋" w:cs="仿宋"/>
          <w:color w:val="000000"/>
          <w:sz w:val="28"/>
          <w:szCs w:val="28"/>
          <w:lang w:bidi="ar"/>
        </w:rPr>
        <w:t>。</w:t>
      </w:r>
    </w:p>
    <w:p>
      <w:pPr>
        <w:spacing w:line="560" w:lineRule="exact"/>
        <w:ind w:firstLine="640" w:firstLineChars="200"/>
        <w:rPr>
          <w:rFonts w:ascii="仿宋_GB2312" w:hAnsi="黑体"/>
          <w:color w:val="000000"/>
          <w:sz w:val="32"/>
        </w:rPr>
      </w:pPr>
      <w:r>
        <w:rPr>
          <w:rFonts w:hint="eastAsia" w:ascii="仿宋_GB2312" w:hAnsi="黑体"/>
          <w:color w:val="000000"/>
          <w:sz w:val="32"/>
        </w:rPr>
        <w:t>（四）教学资源</w:t>
      </w:r>
    </w:p>
    <w:p>
      <w:pPr>
        <w:pStyle w:val="16"/>
        <w:spacing w:line="560" w:lineRule="exact"/>
        <w:ind w:firstLine="560"/>
        <w:rPr>
          <w:rFonts w:ascii="仿宋_GB2312" w:eastAsia="仿宋_GB2312"/>
          <w:color w:val="000000"/>
          <w:kern w:val="2"/>
          <w:sz w:val="28"/>
          <w:szCs w:val="28"/>
        </w:rPr>
      </w:pPr>
      <w:bookmarkStart w:id="1" w:name="_Toc362772411"/>
      <w:bookmarkStart w:id="2" w:name="_Toc11564"/>
      <w:bookmarkStart w:id="3" w:name="_Toc387666194"/>
      <w:bookmarkStart w:id="4" w:name="_Toc413051210"/>
      <w:bookmarkStart w:id="5" w:name="_Toc7514466"/>
      <w:r>
        <w:rPr>
          <w:rFonts w:hint="eastAsia" w:ascii="仿宋_GB2312" w:eastAsia="仿宋_GB2312"/>
          <w:color w:val="000000"/>
          <w:kern w:val="2"/>
          <w:sz w:val="28"/>
          <w:szCs w:val="28"/>
        </w:rPr>
        <w:t>设置专业教学资源库，配套专业参考书籍、教学视频、教学课件，建立初级工、中级工、高级工国家职业技能鉴定考核模拟试题库，配置投影、电脑及网络，建立资料借阅制度，为师生日常教学资料及网络资源查询提供便利条件。</w:t>
      </w:r>
    </w:p>
    <w:p>
      <w:pPr>
        <w:widowControl/>
        <w:adjustRightInd w:val="0"/>
        <w:snapToGrid w:val="0"/>
        <w:spacing w:before="100" w:beforeAutospacing="1" w:after="100" w:afterAutospacing="1" w:line="400" w:lineRule="exact"/>
        <w:ind w:firstLine="482"/>
        <w:jc w:val="center"/>
        <w:rPr>
          <w:rFonts w:ascii="仿宋_GB2312" w:hAnsi="宋体" w:cs="Arial"/>
          <w:b/>
          <w:bCs/>
          <w:sz w:val="32"/>
        </w:rPr>
      </w:pPr>
      <w:r>
        <w:rPr>
          <w:rFonts w:hint="eastAsia" w:ascii="仿宋_GB2312" w:hAnsi="宋体" w:cs="Arial"/>
          <w:b/>
          <w:bCs/>
          <w:sz w:val="32"/>
        </w:rPr>
        <w:t>选用教材</w:t>
      </w:r>
      <w:bookmarkEnd w:id="1"/>
      <w:bookmarkEnd w:id="2"/>
      <w:bookmarkEnd w:id="3"/>
      <w:bookmarkEnd w:id="4"/>
      <w:bookmarkEnd w:id="5"/>
      <w:r>
        <w:rPr>
          <w:rFonts w:hint="eastAsia" w:ascii="仿宋_GB2312" w:hAnsi="宋体" w:cs="Arial"/>
          <w:b/>
          <w:bCs/>
          <w:sz w:val="32"/>
        </w:rPr>
        <w:t>一览表（样表）</w:t>
      </w:r>
    </w:p>
    <w:tbl>
      <w:tblPr>
        <w:tblStyle w:val="7"/>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0"/>
        <w:gridCol w:w="2063"/>
        <w:gridCol w:w="2395"/>
        <w:gridCol w:w="198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709" w:type="dxa"/>
            <w:vMerge w:val="restart"/>
            <w:shd w:val="clear" w:color="auto" w:fill="DBE5F1"/>
            <w:vAlign w:val="center"/>
          </w:tcPr>
          <w:p>
            <w:pPr>
              <w:spacing w:line="440" w:lineRule="exact"/>
              <w:jc w:val="center"/>
              <w:rPr>
                <w:rFonts w:ascii="华文仿宋" w:hAnsi="华文仿宋" w:eastAsia="华文仿宋" w:cs="仿宋"/>
                <w:b/>
                <w:sz w:val="24"/>
                <w:szCs w:val="24"/>
              </w:rPr>
            </w:pPr>
            <w:r>
              <w:rPr>
                <w:rFonts w:hint="eastAsia" w:ascii="华文仿宋" w:hAnsi="华文仿宋" w:eastAsia="华文仿宋" w:cs="仿宋"/>
                <w:b/>
                <w:sz w:val="24"/>
                <w:szCs w:val="24"/>
              </w:rPr>
              <w:t>序号</w:t>
            </w:r>
          </w:p>
        </w:tc>
        <w:tc>
          <w:tcPr>
            <w:tcW w:w="1420" w:type="dxa"/>
            <w:vMerge w:val="restart"/>
            <w:shd w:val="clear" w:color="auto" w:fill="DBE5F1"/>
            <w:vAlign w:val="center"/>
          </w:tcPr>
          <w:p>
            <w:pPr>
              <w:spacing w:line="440" w:lineRule="exact"/>
              <w:jc w:val="center"/>
              <w:rPr>
                <w:rFonts w:ascii="华文仿宋" w:hAnsi="华文仿宋" w:eastAsia="华文仿宋" w:cs="仿宋"/>
                <w:b/>
                <w:sz w:val="24"/>
                <w:szCs w:val="24"/>
              </w:rPr>
            </w:pPr>
            <w:r>
              <w:rPr>
                <w:rFonts w:hint="eastAsia" w:ascii="华文仿宋" w:hAnsi="华文仿宋" w:eastAsia="华文仿宋" w:cs="仿宋"/>
                <w:b/>
                <w:sz w:val="24"/>
                <w:szCs w:val="24"/>
              </w:rPr>
              <w:t>课程类别</w:t>
            </w:r>
          </w:p>
        </w:tc>
        <w:tc>
          <w:tcPr>
            <w:tcW w:w="2063" w:type="dxa"/>
            <w:vMerge w:val="restart"/>
            <w:shd w:val="clear" w:color="auto" w:fill="DBE5F1"/>
            <w:vAlign w:val="center"/>
          </w:tcPr>
          <w:p>
            <w:pPr>
              <w:spacing w:line="440" w:lineRule="exact"/>
              <w:jc w:val="center"/>
              <w:rPr>
                <w:rFonts w:ascii="华文仿宋" w:hAnsi="华文仿宋" w:eastAsia="华文仿宋" w:cs="仿宋"/>
                <w:b/>
                <w:sz w:val="24"/>
                <w:szCs w:val="24"/>
              </w:rPr>
            </w:pPr>
            <w:r>
              <w:rPr>
                <w:rFonts w:hint="eastAsia" w:ascii="华文仿宋" w:hAnsi="华文仿宋" w:eastAsia="华文仿宋" w:cs="仿宋"/>
                <w:b/>
                <w:sz w:val="24"/>
                <w:szCs w:val="24"/>
              </w:rPr>
              <w:t>课程名称</w:t>
            </w:r>
          </w:p>
        </w:tc>
        <w:tc>
          <w:tcPr>
            <w:tcW w:w="5449" w:type="dxa"/>
            <w:gridSpan w:val="3"/>
            <w:shd w:val="clear" w:color="auto" w:fill="DBE5F1"/>
            <w:vAlign w:val="center"/>
          </w:tcPr>
          <w:p>
            <w:pPr>
              <w:spacing w:line="300" w:lineRule="exact"/>
              <w:jc w:val="center"/>
              <w:rPr>
                <w:rFonts w:ascii="华文仿宋" w:hAnsi="华文仿宋" w:eastAsia="华文仿宋" w:cs="仿宋"/>
                <w:b/>
                <w:sz w:val="24"/>
                <w:szCs w:val="24"/>
              </w:rPr>
            </w:pPr>
            <w:r>
              <w:rPr>
                <w:rFonts w:hint="eastAsia" w:ascii="华文仿宋" w:hAnsi="华文仿宋" w:eastAsia="华文仿宋" w:cs="仿宋"/>
                <w:b/>
                <w:sz w:val="24"/>
                <w:szCs w:val="24"/>
              </w:rPr>
              <w:t>使用教材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jc w:val="center"/>
        </w:trPr>
        <w:tc>
          <w:tcPr>
            <w:tcW w:w="709" w:type="dxa"/>
            <w:vMerge w:val="continue"/>
            <w:shd w:val="clear" w:color="auto" w:fill="DBE5F1"/>
            <w:vAlign w:val="center"/>
          </w:tcPr>
          <w:p>
            <w:pPr>
              <w:spacing w:line="440" w:lineRule="exact"/>
              <w:jc w:val="center"/>
              <w:rPr>
                <w:rFonts w:ascii="华文仿宋" w:hAnsi="华文仿宋" w:eastAsia="华文仿宋" w:cs="仿宋"/>
                <w:b/>
                <w:sz w:val="24"/>
                <w:szCs w:val="24"/>
              </w:rPr>
            </w:pPr>
          </w:p>
        </w:tc>
        <w:tc>
          <w:tcPr>
            <w:tcW w:w="1420" w:type="dxa"/>
            <w:vMerge w:val="continue"/>
            <w:shd w:val="clear" w:color="auto" w:fill="DBE5F1"/>
            <w:vAlign w:val="center"/>
          </w:tcPr>
          <w:p>
            <w:pPr>
              <w:spacing w:line="440" w:lineRule="exact"/>
              <w:jc w:val="center"/>
              <w:rPr>
                <w:rFonts w:ascii="华文仿宋" w:hAnsi="华文仿宋" w:eastAsia="华文仿宋" w:cs="仿宋"/>
                <w:b/>
                <w:sz w:val="24"/>
                <w:szCs w:val="24"/>
              </w:rPr>
            </w:pPr>
          </w:p>
        </w:tc>
        <w:tc>
          <w:tcPr>
            <w:tcW w:w="2063" w:type="dxa"/>
            <w:vMerge w:val="continue"/>
            <w:shd w:val="clear" w:color="auto" w:fill="DBE5F1"/>
            <w:vAlign w:val="center"/>
          </w:tcPr>
          <w:p>
            <w:pPr>
              <w:spacing w:line="440" w:lineRule="exact"/>
              <w:jc w:val="center"/>
              <w:rPr>
                <w:rFonts w:ascii="华文仿宋" w:hAnsi="华文仿宋" w:eastAsia="华文仿宋" w:cs="仿宋"/>
                <w:b/>
                <w:sz w:val="24"/>
                <w:szCs w:val="24"/>
              </w:rPr>
            </w:pPr>
          </w:p>
        </w:tc>
        <w:tc>
          <w:tcPr>
            <w:tcW w:w="2395" w:type="dxa"/>
            <w:shd w:val="clear" w:color="auto" w:fill="DBE5F1"/>
            <w:vAlign w:val="center"/>
          </w:tcPr>
          <w:p>
            <w:pPr>
              <w:spacing w:line="440" w:lineRule="exact"/>
              <w:jc w:val="center"/>
              <w:rPr>
                <w:rFonts w:ascii="华文仿宋" w:hAnsi="华文仿宋" w:eastAsia="华文仿宋" w:cs="仿宋"/>
                <w:b/>
                <w:sz w:val="24"/>
                <w:szCs w:val="24"/>
              </w:rPr>
            </w:pPr>
            <w:r>
              <w:rPr>
                <w:rFonts w:hint="eastAsia" w:ascii="华文仿宋" w:hAnsi="华文仿宋" w:eastAsia="华文仿宋" w:cs="仿宋"/>
                <w:b/>
                <w:sz w:val="24"/>
                <w:szCs w:val="24"/>
              </w:rPr>
              <w:t>名称</w:t>
            </w:r>
          </w:p>
        </w:tc>
        <w:tc>
          <w:tcPr>
            <w:tcW w:w="1984" w:type="dxa"/>
            <w:shd w:val="clear" w:color="auto" w:fill="DBE5F1"/>
            <w:vAlign w:val="center"/>
          </w:tcPr>
          <w:p>
            <w:pPr>
              <w:spacing w:after="120" w:line="440" w:lineRule="exact"/>
              <w:jc w:val="center"/>
              <w:rPr>
                <w:rFonts w:ascii="华文仿宋" w:hAnsi="华文仿宋" w:eastAsia="华文仿宋" w:cs="仿宋"/>
                <w:b/>
                <w:sz w:val="24"/>
                <w:szCs w:val="24"/>
              </w:rPr>
            </w:pPr>
            <w:r>
              <w:rPr>
                <w:rFonts w:hint="eastAsia" w:ascii="华文仿宋" w:hAnsi="华文仿宋" w:eastAsia="华文仿宋" w:cs="仿宋"/>
                <w:b/>
                <w:sz w:val="24"/>
                <w:szCs w:val="24"/>
              </w:rPr>
              <w:t>出版社</w:t>
            </w:r>
          </w:p>
        </w:tc>
        <w:tc>
          <w:tcPr>
            <w:tcW w:w="1070" w:type="dxa"/>
            <w:shd w:val="clear" w:color="auto" w:fill="DBE5F1"/>
            <w:vAlign w:val="center"/>
          </w:tcPr>
          <w:p>
            <w:pPr>
              <w:spacing w:after="120" w:line="440" w:lineRule="exact"/>
              <w:jc w:val="center"/>
              <w:rPr>
                <w:rFonts w:ascii="华文仿宋" w:hAnsi="华文仿宋" w:eastAsia="华文仿宋" w:cs="仿宋"/>
                <w:b/>
                <w:sz w:val="24"/>
                <w:szCs w:val="24"/>
              </w:rPr>
            </w:pPr>
            <w:r>
              <w:rPr>
                <w:rFonts w:hint="eastAsia" w:ascii="华文仿宋" w:hAnsi="华文仿宋" w:eastAsia="华文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pPr>
              <w:spacing w:line="440" w:lineRule="exact"/>
              <w:jc w:val="center"/>
              <w:rPr>
                <w:rFonts w:ascii="华文仿宋" w:hAnsi="华文仿宋" w:eastAsia="华文仿宋" w:cs="仿宋"/>
                <w:sz w:val="24"/>
                <w:szCs w:val="24"/>
              </w:rPr>
            </w:pPr>
            <w:bookmarkStart w:id="6" w:name="_Hlk158000342" w:colFirst="0" w:colLast="5"/>
            <w:r>
              <w:rPr>
                <w:rFonts w:hint="eastAsia" w:ascii="华文仿宋" w:hAnsi="华文仿宋" w:eastAsia="华文仿宋" w:cs="仿宋"/>
                <w:sz w:val="24"/>
                <w:szCs w:val="24"/>
              </w:rPr>
              <w:t>一</w:t>
            </w:r>
          </w:p>
        </w:tc>
        <w:tc>
          <w:tcPr>
            <w:tcW w:w="1420" w:type="dxa"/>
            <w:vMerge w:val="restart"/>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公共基础课</w:t>
            </w:r>
          </w:p>
        </w:tc>
        <w:tc>
          <w:tcPr>
            <w:tcW w:w="2063" w:type="dxa"/>
            <w:vMerge w:val="restart"/>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德育</w:t>
            </w:r>
          </w:p>
        </w:tc>
        <w:tc>
          <w:tcPr>
            <w:tcW w:w="2395"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道德法律与人生</w:t>
            </w:r>
          </w:p>
        </w:tc>
        <w:tc>
          <w:tcPr>
            <w:tcW w:w="1984"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中国劳动社会保障出版社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sz w:val="24"/>
                <w:szCs w:val="24"/>
              </w:rPr>
            </w:pPr>
          </w:p>
        </w:tc>
        <w:tc>
          <w:tcPr>
            <w:tcW w:w="1420" w:type="dxa"/>
            <w:vMerge w:val="continue"/>
            <w:vAlign w:val="center"/>
          </w:tcPr>
          <w:p>
            <w:pPr>
              <w:spacing w:line="440" w:lineRule="exact"/>
              <w:jc w:val="center"/>
              <w:rPr>
                <w:rFonts w:ascii="华文仿宋" w:hAnsi="华文仿宋" w:eastAsia="华文仿宋" w:cs="仿宋"/>
                <w:color w:val="FF0000"/>
                <w:sz w:val="24"/>
                <w:szCs w:val="24"/>
              </w:rPr>
            </w:pPr>
          </w:p>
        </w:tc>
        <w:tc>
          <w:tcPr>
            <w:tcW w:w="2063" w:type="dxa"/>
            <w:vMerge w:val="continue"/>
            <w:vAlign w:val="center"/>
          </w:tcPr>
          <w:p>
            <w:pPr>
              <w:spacing w:line="440" w:lineRule="exact"/>
              <w:jc w:val="center"/>
              <w:rPr>
                <w:rFonts w:ascii="华文仿宋" w:hAnsi="华文仿宋" w:eastAsia="华文仿宋" w:cs="仿宋"/>
                <w:sz w:val="24"/>
                <w:szCs w:val="24"/>
              </w:rPr>
            </w:pPr>
          </w:p>
        </w:tc>
        <w:tc>
          <w:tcPr>
            <w:tcW w:w="2395"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职业生涯规划</w:t>
            </w:r>
          </w:p>
        </w:tc>
        <w:tc>
          <w:tcPr>
            <w:tcW w:w="1984"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高等教育出版社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sz w:val="24"/>
                <w:szCs w:val="24"/>
              </w:rPr>
            </w:pPr>
          </w:p>
        </w:tc>
        <w:tc>
          <w:tcPr>
            <w:tcW w:w="1420" w:type="dxa"/>
            <w:vMerge w:val="continue"/>
            <w:vAlign w:val="center"/>
          </w:tcPr>
          <w:p>
            <w:pPr>
              <w:spacing w:line="440" w:lineRule="exact"/>
              <w:jc w:val="center"/>
              <w:rPr>
                <w:rFonts w:ascii="华文仿宋" w:hAnsi="华文仿宋" w:eastAsia="华文仿宋" w:cs="仿宋"/>
                <w:sz w:val="24"/>
                <w:szCs w:val="24"/>
              </w:rPr>
            </w:pPr>
          </w:p>
        </w:tc>
        <w:tc>
          <w:tcPr>
            <w:tcW w:w="2063" w:type="dxa"/>
            <w:vMerge w:val="continue"/>
            <w:vAlign w:val="center"/>
          </w:tcPr>
          <w:p>
            <w:pPr>
              <w:spacing w:line="440" w:lineRule="exact"/>
              <w:jc w:val="center"/>
              <w:rPr>
                <w:rFonts w:ascii="华文仿宋" w:hAnsi="华文仿宋" w:eastAsia="华文仿宋" w:cs="仿宋"/>
                <w:sz w:val="24"/>
                <w:szCs w:val="24"/>
              </w:rPr>
            </w:pPr>
          </w:p>
        </w:tc>
        <w:tc>
          <w:tcPr>
            <w:tcW w:w="2395"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经济与政治常识</w:t>
            </w:r>
          </w:p>
          <w:p>
            <w:pPr>
              <w:spacing w:line="440" w:lineRule="exact"/>
              <w:jc w:val="left"/>
              <w:rPr>
                <w:rFonts w:ascii="华文仿宋" w:hAnsi="华文仿宋" w:eastAsia="华文仿宋" w:cs="仿宋"/>
                <w:sz w:val="24"/>
                <w:szCs w:val="24"/>
              </w:rPr>
            </w:pPr>
          </w:p>
        </w:tc>
        <w:tc>
          <w:tcPr>
            <w:tcW w:w="1984"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中国劳动社会保障出版社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sz w:val="24"/>
                <w:szCs w:val="24"/>
              </w:rPr>
            </w:pPr>
          </w:p>
        </w:tc>
        <w:tc>
          <w:tcPr>
            <w:tcW w:w="1420" w:type="dxa"/>
            <w:vMerge w:val="continue"/>
            <w:vAlign w:val="center"/>
          </w:tcPr>
          <w:p>
            <w:pPr>
              <w:spacing w:line="440" w:lineRule="exact"/>
              <w:jc w:val="center"/>
              <w:rPr>
                <w:rFonts w:ascii="华文仿宋" w:hAnsi="华文仿宋" w:eastAsia="华文仿宋" w:cs="仿宋"/>
                <w:color w:val="FF0000"/>
                <w:sz w:val="24"/>
                <w:szCs w:val="24"/>
              </w:rPr>
            </w:pPr>
          </w:p>
        </w:tc>
        <w:tc>
          <w:tcPr>
            <w:tcW w:w="2063" w:type="dxa"/>
            <w:vMerge w:val="continue"/>
            <w:vAlign w:val="center"/>
          </w:tcPr>
          <w:p>
            <w:pPr>
              <w:spacing w:line="440" w:lineRule="exact"/>
              <w:jc w:val="center"/>
              <w:rPr>
                <w:rFonts w:ascii="华文仿宋" w:hAnsi="华文仿宋" w:eastAsia="华文仿宋" w:cs="仿宋"/>
                <w:sz w:val="24"/>
                <w:szCs w:val="24"/>
              </w:rPr>
            </w:pPr>
          </w:p>
        </w:tc>
        <w:tc>
          <w:tcPr>
            <w:tcW w:w="2395"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职业道德与职业指导</w:t>
            </w:r>
          </w:p>
        </w:tc>
        <w:tc>
          <w:tcPr>
            <w:tcW w:w="1984"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中国劳动社会保障出版社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sz w:val="24"/>
                <w:szCs w:val="24"/>
              </w:rPr>
            </w:pPr>
          </w:p>
        </w:tc>
        <w:tc>
          <w:tcPr>
            <w:tcW w:w="1420" w:type="dxa"/>
            <w:vMerge w:val="continue"/>
            <w:vAlign w:val="center"/>
          </w:tcPr>
          <w:p>
            <w:pPr>
              <w:spacing w:line="440" w:lineRule="exact"/>
              <w:jc w:val="center"/>
              <w:rPr>
                <w:rFonts w:ascii="华文仿宋" w:hAnsi="华文仿宋" w:eastAsia="华文仿宋" w:cs="仿宋"/>
                <w:color w:val="FF0000"/>
                <w:sz w:val="24"/>
                <w:szCs w:val="24"/>
              </w:rPr>
            </w:pPr>
          </w:p>
        </w:tc>
        <w:tc>
          <w:tcPr>
            <w:tcW w:w="2063" w:type="dxa"/>
            <w:vAlign w:val="center"/>
          </w:tcPr>
          <w:p>
            <w:pPr>
              <w:spacing w:line="440" w:lineRule="exact"/>
              <w:jc w:val="center"/>
              <w:rPr>
                <w:rFonts w:ascii="华文仿宋" w:hAnsi="华文仿宋" w:eastAsia="华文仿宋" w:cs="仿宋"/>
                <w:sz w:val="24"/>
                <w:szCs w:val="24"/>
              </w:rPr>
            </w:pPr>
            <w:bookmarkStart w:id="7" w:name="_GoBack"/>
            <w:bookmarkEnd w:id="7"/>
            <w:r>
              <w:rPr>
                <w:rFonts w:hint="eastAsia" w:ascii="华文仿宋" w:hAnsi="华文仿宋" w:eastAsia="华文仿宋" w:cs="仿宋"/>
                <w:sz w:val="24"/>
                <w:szCs w:val="24"/>
              </w:rPr>
              <w:t>心理健康教育</w:t>
            </w:r>
          </w:p>
        </w:tc>
        <w:tc>
          <w:tcPr>
            <w:tcW w:w="2395"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心理健康教育</w:t>
            </w:r>
          </w:p>
        </w:tc>
        <w:tc>
          <w:tcPr>
            <w:tcW w:w="1984"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中国劳动社会保障出版社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sz w:val="24"/>
                <w:szCs w:val="24"/>
              </w:rPr>
            </w:pPr>
          </w:p>
        </w:tc>
        <w:tc>
          <w:tcPr>
            <w:tcW w:w="1420" w:type="dxa"/>
            <w:vMerge w:val="continue"/>
            <w:vAlign w:val="center"/>
          </w:tcPr>
          <w:p>
            <w:pPr>
              <w:spacing w:line="440" w:lineRule="exact"/>
              <w:jc w:val="center"/>
              <w:rPr>
                <w:rFonts w:ascii="华文仿宋" w:hAnsi="华文仿宋" w:eastAsia="华文仿宋" w:cs="仿宋"/>
                <w:color w:val="FF0000"/>
                <w:sz w:val="24"/>
                <w:szCs w:val="24"/>
              </w:rPr>
            </w:pPr>
          </w:p>
        </w:tc>
        <w:tc>
          <w:tcPr>
            <w:tcW w:w="2063" w:type="dxa"/>
            <w:vMerge w:val="restart"/>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语文</w:t>
            </w:r>
          </w:p>
        </w:tc>
        <w:tc>
          <w:tcPr>
            <w:tcW w:w="2395"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语文（第六版上册）（2020）</w:t>
            </w:r>
          </w:p>
          <w:p>
            <w:pPr>
              <w:spacing w:line="440" w:lineRule="exact"/>
              <w:jc w:val="left"/>
              <w:rPr>
                <w:rFonts w:ascii="华文仿宋" w:hAnsi="华文仿宋" w:eastAsia="华文仿宋" w:cs="仿宋"/>
                <w:sz w:val="24"/>
                <w:szCs w:val="24"/>
              </w:rPr>
            </w:pPr>
          </w:p>
        </w:tc>
        <w:tc>
          <w:tcPr>
            <w:tcW w:w="1984"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中国劳动社会保障出版社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sz w:val="24"/>
                <w:szCs w:val="24"/>
              </w:rPr>
            </w:pPr>
          </w:p>
        </w:tc>
        <w:tc>
          <w:tcPr>
            <w:tcW w:w="1420" w:type="dxa"/>
            <w:vMerge w:val="continue"/>
            <w:vAlign w:val="center"/>
          </w:tcPr>
          <w:p>
            <w:pPr>
              <w:spacing w:line="440" w:lineRule="exact"/>
              <w:jc w:val="center"/>
              <w:rPr>
                <w:rFonts w:ascii="华文仿宋" w:hAnsi="华文仿宋" w:eastAsia="华文仿宋" w:cs="仿宋"/>
                <w:color w:val="FF0000"/>
                <w:sz w:val="24"/>
                <w:szCs w:val="24"/>
              </w:rPr>
            </w:pPr>
          </w:p>
        </w:tc>
        <w:tc>
          <w:tcPr>
            <w:tcW w:w="2063" w:type="dxa"/>
            <w:vMerge w:val="continue"/>
            <w:vAlign w:val="center"/>
          </w:tcPr>
          <w:p>
            <w:pPr>
              <w:spacing w:line="440" w:lineRule="exact"/>
              <w:jc w:val="center"/>
              <w:rPr>
                <w:rFonts w:ascii="华文仿宋" w:hAnsi="华文仿宋" w:eastAsia="华文仿宋" w:cs="仿宋"/>
                <w:sz w:val="24"/>
                <w:szCs w:val="24"/>
              </w:rPr>
            </w:pPr>
          </w:p>
        </w:tc>
        <w:tc>
          <w:tcPr>
            <w:tcW w:w="2395"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语文（第六版）下册（2020）</w:t>
            </w:r>
          </w:p>
          <w:p>
            <w:pPr>
              <w:spacing w:line="440" w:lineRule="exact"/>
              <w:jc w:val="left"/>
              <w:rPr>
                <w:rFonts w:ascii="华文仿宋" w:hAnsi="华文仿宋" w:eastAsia="华文仿宋" w:cs="仿宋"/>
                <w:sz w:val="24"/>
                <w:szCs w:val="24"/>
              </w:rPr>
            </w:pPr>
          </w:p>
        </w:tc>
        <w:tc>
          <w:tcPr>
            <w:tcW w:w="1984"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中国劳动社会保障出版社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sz w:val="24"/>
                <w:szCs w:val="24"/>
              </w:rPr>
            </w:pPr>
          </w:p>
        </w:tc>
        <w:tc>
          <w:tcPr>
            <w:tcW w:w="1420" w:type="dxa"/>
            <w:vMerge w:val="continue"/>
            <w:vAlign w:val="center"/>
          </w:tcPr>
          <w:p>
            <w:pPr>
              <w:spacing w:line="440" w:lineRule="exact"/>
              <w:jc w:val="center"/>
              <w:rPr>
                <w:rFonts w:ascii="华文仿宋" w:hAnsi="华文仿宋" w:eastAsia="华文仿宋" w:cs="仿宋"/>
                <w:color w:val="FF0000"/>
                <w:sz w:val="24"/>
                <w:szCs w:val="24"/>
              </w:rPr>
            </w:pPr>
          </w:p>
        </w:tc>
        <w:tc>
          <w:tcPr>
            <w:tcW w:w="2063" w:type="dxa"/>
            <w:vMerge w:val="restart"/>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数学</w:t>
            </w:r>
          </w:p>
        </w:tc>
        <w:tc>
          <w:tcPr>
            <w:tcW w:w="2395"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基础数学</w:t>
            </w:r>
          </w:p>
        </w:tc>
        <w:tc>
          <w:tcPr>
            <w:tcW w:w="1984"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湖南师范大学出版社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sz w:val="24"/>
                <w:szCs w:val="24"/>
              </w:rPr>
            </w:pPr>
          </w:p>
        </w:tc>
        <w:tc>
          <w:tcPr>
            <w:tcW w:w="1420" w:type="dxa"/>
            <w:vMerge w:val="continue"/>
            <w:vAlign w:val="center"/>
          </w:tcPr>
          <w:p>
            <w:pPr>
              <w:spacing w:line="440" w:lineRule="exact"/>
              <w:jc w:val="center"/>
              <w:rPr>
                <w:rFonts w:ascii="华文仿宋" w:hAnsi="华文仿宋" w:eastAsia="华文仿宋" w:cs="仿宋"/>
                <w:color w:val="FF0000"/>
                <w:sz w:val="24"/>
                <w:szCs w:val="24"/>
              </w:rPr>
            </w:pPr>
          </w:p>
        </w:tc>
        <w:tc>
          <w:tcPr>
            <w:tcW w:w="2063" w:type="dxa"/>
            <w:vMerge w:val="continue"/>
            <w:vAlign w:val="center"/>
          </w:tcPr>
          <w:p>
            <w:pPr>
              <w:spacing w:line="440" w:lineRule="exact"/>
              <w:jc w:val="center"/>
              <w:rPr>
                <w:rFonts w:ascii="华文仿宋" w:hAnsi="华文仿宋" w:eastAsia="华文仿宋" w:cs="仿宋"/>
                <w:sz w:val="24"/>
                <w:szCs w:val="24"/>
              </w:rPr>
            </w:pPr>
          </w:p>
        </w:tc>
        <w:tc>
          <w:tcPr>
            <w:tcW w:w="2395"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数学（第七版 上册）</w:t>
            </w:r>
          </w:p>
        </w:tc>
        <w:tc>
          <w:tcPr>
            <w:tcW w:w="1984"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中国劳动社会保障出版社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sz w:val="24"/>
                <w:szCs w:val="24"/>
              </w:rPr>
            </w:pPr>
          </w:p>
        </w:tc>
        <w:tc>
          <w:tcPr>
            <w:tcW w:w="1420" w:type="dxa"/>
            <w:vMerge w:val="continue"/>
            <w:vAlign w:val="center"/>
          </w:tcPr>
          <w:p>
            <w:pPr>
              <w:spacing w:line="440" w:lineRule="exact"/>
              <w:jc w:val="center"/>
              <w:rPr>
                <w:rFonts w:ascii="华文仿宋" w:hAnsi="华文仿宋" w:eastAsia="华文仿宋" w:cs="仿宋"/>
                <w:color w:val="FF0000"/>
                <w:sz w:val="24"/>
                <w:szCs w:val="24"/>
              </w:rPr>
            </w:pP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英语</w:t>
            </w:r>
          </w:p>
        </w:tc>
        <w:tc>
          <w:tcPr>
            <w:tcW w:w="2395"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新模式英语（1）（2019</w:t>
            </w:r>
          </w:p>
        </w:tc>
        <w:tc>
          <w:tcPr>
            <w:tcW w:w="1984"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中国劳动社会保障出版社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sz w:val="24"/>
                <w:szCs w:val="24"/>
              </w:rPr>
            </w:pPr>
          </w:p>
        </w:tc>
        <w:tc>
          <w:tcPr>
            <w:tcW w:w="1420" w:type="dxa"/>
            <w:vMerge w:val="continue"/>
            <w:vAlign w:val="center"/>
          </w:tcPr>
          <w:p>
            <w:pPr>
              <w:spacing w:line="440" w:lineRule="exact"/>
              <w:jc w:val="center"/>
              <w:rPr>
                <w:rFonts w:ascii="华文仿宋" w:hAnsi="华文仿宋" w:eastAsia="华文仿宋" w:cs="仿宋"/>
                <w:color w:val="FF0000"/>
                <w:sz w:val="24"/>
                <w:szCs w:val="24"/>
              </w:rPr>
            </w:pP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历史</w:t>
            </w:r>
          </w:p>
        </w:tc>
        <w:tc>
          <w:tcPr>
            <w:tcW w:w="2395"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中国历史（全一册）</w:t>
            </w:r>
          </w:p>
        </w:tc>
        <w:tc>
          <w:tcPr>
            <w:tcW w:w="1984"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人民教育出版社</w:t>
            </w:r>
          </w:p>
        </w:tc>
        <w:tc>
          <w:tcPr>
            <w:tcW w:w="1070"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中职教材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sz w:val="24"/>
                <w:szCs w:val="24"/>
              </w:rPr>
            </w:pPr>
          </w:p>
        </w:tc>
        <w:tc>
          <w:tcPr>
            <w:tcW w:w="1420" w:type="dxa"/>
            <w:vMerge w:val="continue"/>
            <w:vAlign w:val="center"/>
          </w:tcPr>
          <w:p>
            <w:pPr>
              <w:spacing w:line="440" w:lineRule="exact"/>
              <w:jc w:val="center"/>
              <w:rPr>
                <w:rFonts w:ascii="华文仿宋" w:hAnsi="华文仿宋" w:eastAsia="华文仿宋" w:cs="仿宋"/>
                <w:color w:val="FF0000"/>
                <w:sz w:val="24"/>
                <w:szCs w:val="24"/>
              </w:rPr>
            </w:pP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计算机基础与应用</w:t>
            </w:r>
          </w:p>
        </w:tc>
        <w:tc>
          <w:tcPr>
            <w:tcW w:w="2395"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计算机应用基础</w:t>
            </w:r>
          </w:p>
        </w:tc>
        <w:tc>
          <w:tcPr>
            <w:tcW w:w="1984" w:type="dxa"/>
            <w:vAlign w:val="center"/>
          </w:tcPr>
          <w:p>
            <w:pPr>
              <w:spacing w:line="440" w:lineRule="exact"/>
              <w:jc w:val="left"/>
              <w:rPr>
                <w:rFonts w:ascii="华文仿宋" w:hAnsi="华文仿宋" w:eastAsia="华文仿宋" w:cs="仿宋"/>
                <w:sz w:val="24"/>
                <w:szCs w:val="24"/>
              </w:rPr>
            </w:pPr>
            <w:r>
              <w:rPr>
                <w:rFonts w:hint="eastAsia" w:ascii="华文仿宋" w:hAnsi="华文仿宋" w:eastAsia="华文仿宋" w:cs="仿宋"/>
                <w:sz w:val="24"/>
                <w:szCs w:val="24"/>
              </w:rPr>
              <w:t>上海交通大学出版社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pPr>
              <w:spacing w:line="440" w:lineRule="exact"/>
              <w:jc w:val="center"/>
              <w:rPr>
                <w:rFonts w:ascii="华文仿宋" w:hAnsi="华文仿宋" w:eastAsia="华文仿宋" w:cs="仿宋"/>
                <w:b/>
                <w:sz w:val="24"/>
                <w:szCs w:val="24"/>
              </w:rPr>
            </w:pPr>
            <w:r>
              <w:rPr>
                <w:rFonts w:hint="eastAsia" w:ascii="华文仿宋" w:hAnsi="华文仿宋" w:eastAsia="华文仿宋" w:cs="仿宋"/>
                <w:b/>
                <w:sz w:val="24"/>
                <w:szCs w:val="24"/>
              </w:rPr>
              <w:t>二</w:t>
            </w:r>
          </w:p>
        </w:tc>
        <w:tc>
          <w:tcPr>
            <w:tcW w:w="1420" w:type="dxa"/>
            <w:vMerge w:val="restart"/>
            <w:vAlign w:val="center"/>
          </w:tcPr>
          <w:p>
            <w:pPr>
              <w:spacing w:line="440" w:lineRule="exact"/>
              <w:jc w:val="center"/>
              <w:rPr>
                <w:rFonts w:ascii="华文仿宋" w:hAnsi="华文仿宋" w:eastAsia="华文仿宋" w:cs="仿宋"/>
                <w:color w:val="000000" w:themeColor="text1"/>
                <w:sz w:val="24"/>
                <w:szCs w:val="24"/>
                <w14:textFill>
                  <w14:solidFill>
                    <w14:schemeClr w14:val="tx1"/>
                  </w14:solidFill>
                </w14:textFill>
              </w:rPr>
            </w:pPr>
            <w:r>
              <w:rPr>
                <w:rFonts w:hint="eastAsia" w:ascii="华文仿宋" w:hAnsi="华文仿宋" w:eastAsia="华文仿宋" w:cs="仿宋"/>
                <w:color w:val="000000" w:themeColor="text1"/>
                <w:sz w:val="24"/>
                <w:szCs w:val="24"/>
                <w14:textFill>
                  <w14:solidFill>
                    <w14:schemeClr w14:val="tx1"/>
                  </w14:solidFill>
                </w14:textFill>
              </w:rPr>
              <w:t>专业基础课</w:t>
            </w: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无机化学与实验</w:t>
            </w:r>
          </w:p>
        </w:tc>
        <w:tc>
          <w:tcPr>
            <w:tcW w:w="2395"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无机化学(第二版) （附练习册）</w:t>
            </w:r>
          </w:p>
        </w:tc>
        <w:tc>
          <w:tcPr>
            <w:tcW w:w="1984"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化学工业出版社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b/>
                <w:sz w:val="24"/>
                <w:szCs w:val="24"/>
              </w:rPr>
            </w:pPr>
          </w:p>
        </w:tc>
        <w:tc>
          <w:tcPr>
            <w:tcW w:w="1420" w:type="dxa"/>
            <w:vMerge w:val="continue"/>
            <w:vAlign w:val="center"/>
          </w:tcPr>
          <w:p>
            <w:pPr>
              <w:spacing w:line="440" w:lineRule="exact"/>
              <w:jc w:val="center"/>
              <w:rPr>
                <w:rFonts w:ascii="华文仿宋" w:hAnsi="华文仿宋" w:eastAsia="华文仿宋" w:cs="仿宋"/>
                <w:sz w:val="24"/>
                <w:szCs w:val="24"/>
              </w:rPr>
            </w:pP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有机化学与实验</w:t>
            </w:r>
          </w:p>
        </w:tc>
        <w:tc>
          <w:tcPr>
            <w:tcW w:w="2395"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有机化学(第二版)</w:t>
            </w:r>
          </w:p>
        </w:tc>
        <w:tc>
          <w:tcPr>
            <w:tcW w:w="1984"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化学工业出版社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b/>
                <w:sz w:val="24"/>
                <w:szCs w:val="24"/>
              </w:rPr>
            </w:pPr>
          </w:p>
        </w:tc>
        <w:tc>
          <w:tcPr>
            <w:tcW w:w="1420" w:type="dxa"/>
            <w:vMerge w:val="continue"/>
            <w:vAlign w:val="center"/>
          </w:tcPr>
          <w:p>
            <w:pPr>
              <w:spacing w:line="440" w:lineRule="exact"/>
              <w:jc w:val="center"/>
              <w:rPr>
                <w:rFonts w:ascii="华文仿宋" w:hAnsi="华文仿宋" w:eastAsia="华文仿宋" w:cs="仿宋"/>
                <w:sz w:val="24"/>
                <w:szCs w:val="24"/>
              </w:rPr>
            </w:pP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实验室安全技术</w:t>
            </w:r>
          </w:p>
        </w:tc>
        <w:tc>
          <w:tcPr>
            <w:tcW w:w="2395"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实验室安全技术</w:t>
            </w:r>
          </w:p>
        </w:tc>
        <w:tc>
          <w:tcPr>
            <w:tcW w:w="1984"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化学工业出版社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b/>
                <w:sz w:val="24"/>
                <w:szCs w:val="24"/>
              </w:rPr>
            </w:pPr>
          </w:p>
        </w:tc>
        <w:tc>
          <w:tcPr>
            <w:tcW w:w="1420" w:type="dxa"/>
            <w:vMerge w:val="continue"/>
            <w:vAlign w:val="center"/>
          </w:tcPr>
          <w:p>
            <w:pPr>
              <w:spacing w:line="440" w:lineRule="exact"/>
              <w:jc w:val="center"/>
              <w:rPr>
                <w:rFonts w:ascii="华文仿宋" w:hAnsi="华文仿宋" w:eastAsia="华文仿宋" w:cs="仿宋"/>
                <w:sz w:val="24"/>
                <w:szCs w:val="24"/>
              </w:rPr>
            </w:pP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计量与标准化基础知识</w:t>
            </w:r>
          </w:p>
        </w:tc>
        <w:tc>
          <w:tcPr>
            <w:tcW w:w="2395"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计量与标准化基础知识</w:t>
            </w:r>
          </w:p>
        </w:tc>
        <w:tc>
          <w:tcPr>
            <w:tcW w:w="1984"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化学工业出版社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b/>
                <w:sz w:val="24"/>
                <w:szCs w:val="24"/>
              </w:rPr>
            </w:pPr>
          </w:p>
        </w:tc>
        <w:tc>
          <w:tcPr>
            <w:tcW w:w="1420" w:type="dxa"/>
            <w:vMerge w:val="continue"/>
            <w:vAlign w:val="center"/>
          </w:tcPr>
          <w:p>
            <w:pPr>
              <w:spacing w:line="440" w:lineRule="exact"/>
              <w:jc w:val="center"/>
              <w:rPr>
                <w:rFonts w:ascii="华文仿宋" w:hAnsi="华文仿宋" w:eastAsia="华文仿宋" w:cs="仿宋"/>
                <w:sz w:val="24"/>
                <w:szCs w:val="24"/>
              </w:rPr>
            </w:pP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化验室组织与管理</w:t>
            </w:r>
          </w:p>
        </w:tc>
        <w:tc>
          <w:tcPr>
            <w:tcW w:w="2395"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化验室组织与管理（第三版）</w:t>
            </w:r>
          </w:p>
        </w:tc>
        <w:tc>
          <w:tcPr>
            <w:tcW w:w="1984"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化学工业出版社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b/>
                <w:sz w:val="24"/>
                <w:szCs w:val="24"/>
              </w:rPr>
            </w:pPr>
          </w:p>
        </w:tc>
        <w:tc>
          <w:tcPr>
            <w:tcW w:w="1420" w:type="dxa"/>
            <w:vMerge w:val="continue"/>
            <w:vAlign w:val="center"/>
          </w:tcPr>
          <w:p>
            <w:pPr>
              <w:spacing w:line="440" w:lineRule="exact"/>
              <w:jc w:val="center"/>
              <w:rPr>
                <w:rFonts w:ascii="华文仿宋" w:hAnsi="华文仿宋" w:eastAsia="华文仿宋" w:cs="仿宋"/>
                <w:sz w:val="24"/>
                <w:szCs w:val="24"/>
              </w:rPr>
            </w:pP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工业化学</w:t>
            </w:r>
          </w:p>
        </w:tc>
        <w:tc>
          <w:tcPr>
            <w:tcW w:w="2395"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工业化学（第二版）</w:t>
            </w:r>
          </w:p>
        </w:tc>
        <w:tc>
          <w:tcPr>
            <w:tcW w:w="1984"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化学工业出版社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b/>
                <w:sz w:val="24"/>
                <w:szCs w:val="24"/>
              </w:rPr>
            </w:pPr>
          </w:p>
        </w:tc>
        <w:tc>
          <w:tcPr>
            <w:tcW w:w="1420" w:type="dxa"/>
            <w:vMerge w:val="continue"/>
            <w:vAlign w:val="center"/>
          </w:tcPr>
          <w:p>
            <w:pPr>
              <w:spacing w:line="440" w:lineRule="exact"/>
              <w:jc w:val="center"/>
              <w:rPr>
                <w:rFonts w:ascii="华文仿宋" w:hAnsi="华文仿宋" w:eastAsia="华文仿宋" w:cs="仿宋"/>
                <w:sz w:val="24"/>
                <w:szCs w:val="24"/>
              </w:rPr>
            </w:pP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化工安全与环保</w:t>
            </w:r>
          </w:p>
        </w:tc>
        <w:tc>
          <w:tcPr>
            <w:tcW w:w="2395"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化工安全与环保</w:t>
            </w:r>
          </w:p>
        </w:tc>
        <w:tc>
          <w:tcPr>
            <w:tcW w:w="1984"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化学工业出版社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b/>
                <w:sz w:val="24"/>
                <w:szCs w:val="24"/>
              </w:rPr>
            </w:pPr>
          </w:p>
        </w:tc>
        <w:tc>
          <w:tcPr>
            <w:tcW w:w="1420" w:type="dxa"/>
            <w:vMerge w:val="continue"/>
            <w:vAlign w:val="center"/>
          </w:tcPr>
          <w:p>
            <w:pPr>
              <w:spacing w:line="440" w:lineRule="exact"/>
              <w:jc w:val="center"/>
              <w:rPr>
                <w:rFonts w:ascii="华文仿宋" w:hAnsi="华文仿宋" w:eastAsia="华文仿宋" w:cs="仿宋"/>
                <w:sz w:val="24"/>
                <w:szCs w:val="24"/>
              </w:rPr>
            </w:pP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分析化学</w:t>
            </w:r>
          </w:p>
        </w:tc>
        <w:tc>
          <w:tcPr>
            <w:tcW w:w="2395"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分析化学（第三版）</w:t>
            </w:r>
          </w:p>
        </w:tc>
        <w:tc>
          <w:tcPr>
            <w:tcW w:w="1984"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化学工业出版社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pPr>
              <w:spacing w:line="440" w:lineRule="exact"/>
              <w:jc w:val="center"/>
              <w:rPr>
                <w:rFonts w:ascii="华文仿宋" w:hAnsi="华文仿宋" w:eastAsia="华文仿宋" w:cs="仿宋"/>
                <w:b/>
                <w:sz w:val="24"/>
                <w:szCs w:val="24"/>
              </w:rPr>
            </w:pPr>
            <w:r>
              <w:rPr>
                <w:rFonts w:hint="eastAsia" w:ascii="华文仿宋" w:hAnsi="华文仿宋" w:eastAsia="华文仿宋" w:cs="仿宋"/>
                <w:b/>
                <w:sz w:val="24"/>
                <w:szCs w:val="24"/>
              </w:rPr>
              <w:t>三</w:t>
            </w:r>
          </w:p>
        </w:tc>
        <w:tc>
          <w:tcPr>
            <w:tcW w:w="1420" w:type="dxa"/>
            <w:vMerge w:val="restart"/>
            <w:vAlign w:val="center"/>
          </w:tcPr>
          <w:p>
            <w:pPr>
              <w:spacing w:line="30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专业技能课</w:t>
            </w: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分析化学基础知识与基本操作</w:t>
            </w:r>
          </w:p>
        </w:tc>
        <w:tc>
          <w:tcPr>
            <w:tcW w:w="2395"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分析化学基础知识与基本操作</w:t>
            </w:r>
          </w:p>
        </w:tc>
        <w:tc>
          <w:tcPr>
            <w:tcW w:w="1984" w:type="dxa"/>
            <w:vAlign w:val="center"/>
          </w:tcPr>
          <w:p>
            <w:pPr>
              <w:spacing w:line="440" w:lineRule="exact"/>
              <w:jc w:val="center"/>
              <w:rPr>
                <w:rFonts w:ascii="华文仿宋" w:hAnsi="华文仿宋" w:eastAsia="华文仿宋" w:cs="仿宋"/>
                <w:sz w:val="24"/>
                <w:szCs w:val="24"/>
              </w:rPr>
            </w:pPr>
          </w:p>
        </w:tc>
        <w:tc>
          <w:tcPr>
            <w:tcW w:w="1070"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校本</w:t>
            </w:r>
          </w:p>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b/>
                <w:sz w:val="24"/>
                <w:szCs w:val="24"/>
              </w:rPr>
            </w:pPr>
          </w:p>
        </w:tc>
        <w:tc>
          <w:tcPr>
            <w:tcW w:w="1420" w:type="dxa"/>
            <w:vMerge w:val="continue"/>
            <w:vAlign w:val="center"/>
          </w:tcPr>
          <w:p>
            <w:pPr>
              <w:spacing w:line="440" w:lineRule="exact"/>
              <w:jc w:val="center"/>
              <w:rPr>
                <w:rFonts w:ascii="华文仿宋" w:hAnsi="华文仿宋" w:eastAsia="华文仿宋" w:cs="仿宋"/>
                <w:sz w:val="24"/>
                <w:szCs w:val="24"/>
              </w:rPr>
            </w:pP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试样采集与制备</w:t>
            </w:r>
          </w:p>
        </w:tc>
        <w:tc>
          <w:tcPr>
            <w:tcW w:w="2395"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试样的采集与制备</w:t>
            </w:r>
          </w:p>
        </w:tc>
        <w:tc>
          <w:tcPr>
            <w:tcW w:w="1984"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化学工业出版社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b/>
                <w:sz w:val="24"/>
                <w:szCs w:val="24"/>
              </w:rPr>
            </w:pPr>
          </w:p>
        </w:tc>
        <w:tc>
          <w:tcPr>
            <w:tcW w:w="1420" w:type="dxa"/>
            <w:vMerge w:val="continue"/>
            <w:vAlign w:val="center"/>
          </w:tcPr>
          <w:p>
            <w:pPr>
              <w:spacing w:line="440" w:lineRule="exact"/>
              <w:jc w:val="center"/>
              <w:rPr>
                <w:rFonts w:ascii="华文仿宋" w:hAnsi="华文仿宋" w:eastAsia="华文仿宋" w:cs="仿宋"/>
                <w:sz w:val="24"/>
                <w:szCs w:val="24"/>
              </w:rPr>
            </w:pP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水质分析</w:t>
            </w:r>
          </w:p>
        </w:tc>
        <w:tc>
          <w:tcPr>
            <w:tcW w:w="2395"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水质分析</w:t>
            </w:r>
          </w:p>
        </w:tc>
        <w:tc>
          <w:tcPr>
            <w:tcW w:w="1984" w:type="dxa"/>
            <w:vAlign w:val="center"/>
          </w:tcPr>
          <w:p>
            <w:pPr>
              <w:spacing w:line="440" w:lineRule="exact"/>
              <w:jc w:val="center"/>
              <w:rPr>
                <w:rFonts w:ascii="华文仿宋" w:hAnsi="华文仿宋" w:eastAsia="华文仿宋" w:cs="仿宋"/>
                <w:sz w:val="24"/>
                <w:szCs w:val="24"/>
              </w:rPr>
            </w:pPr>
          </w:p>
        </w:tc>
        <w:tc>
          <w:tcPr>
            <w:tcW w:w="1070"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校本</w:t>
            </w:r>
          </w:p>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b/>
                <w:sz w:val="24"/>
                <w:szCs w:val="24"/>
              </w:rPr>
            </w:pPr>
          </w:p>
        </w:tc>
        <w:tc>
          <w:tcPr>
            <w:tcW w:w="1420" w:type="dxa"/>
            <w:vMerge w:val="continue"/>
            <w:vAlign w:val="center"/>
          </w:tcPr>
          <w:p>
            <w:pPr>
              <w:spacing w:line="440" w:lineRule="exact"/>
              <w:jc w:val="center"/>
              <w:rPr>
                <w:rFonts w:ascii="华文仿宋" w:hAnsi="华文仿宋" w:eastAsia="华文仿宋" w:cs="仿宋"/>
                <w:sz w:val="24"/>
                <w:szCs w:val="24"/>
              </w:rPr>
            </w:pP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肥料分析</w:t>
            </w:r>
          </w:p>
        </w:tc>
        <w:tc>
          <w:tcPr>
            <w:tcW w:w="2395"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肥料分析</w:t>
            </w:r>
          </w:p>
        </w:tc>
        <w:tc>
          <w:tcPr>
            <w:tcW w:w="1984" w:type="dxa"/>
            <w:vAlign w:val="center"/>
          </w:tcPr>
          <w:p>
            <w:pPr>
              <w:spacing w:line="440" w:lineRule="exact"/>
              <w:jc w:val="center"/>
              <w:rPr>
                <w:rFonts w:ascii="华文仿宋" w:hAnsi="华文仿宋" w:eastAsia="华文仿宋" w:cs="仿宋"/>
                <w:sz w:val="24"/>
                <w:szCs w:val="24"/>
              </w:rPr>
            </w:pPr>
          </w:p>
        </w:tc>
        <w:tc>
          <w:tcPr>
            <w:tcW w:w="1070"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校本</w:t>
            </w:r>
          </w:p>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b/>
                <w:sz w:val="24"/>
                <w:szCs w:val="24"/>
              </w:rPr>
            </w:pPr>
          </w:p>
        </w:tc>
        <w:tc>
          <w:tcPr>
            <w:tcW w:w="1420" w:type="dxa"/>
            <w:vMerge w:val="continue"/>
            <w:vAlign w:val="center"/>
          </w:tcPr>
          <w:p>
            <w:pPr>
              <w:spacing w:line="440" w:lineRule="exact"/>
              <w:jc w:val="center"/>
              <w:rPr>
                <w:rFonts w:ascii="华文仿宋" w:hAnsi="华文仿宋" w:eastAsia="华文仿宋" w:cs="仿宋"/>
                <w:sz w:val="24"/>
                <w:szCs w:val="24"/>
              </w:rPr>
            </w:pP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石油产品分析</w:t>
            </w:r>
          </w:p>
        </w:tc>
        <w:tc>
          <w:tcPr>
            <w:tcW w:w="2395"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油品分析</w:t>
            </w:r>
          </w:p>
        </w:tc>
        <w:tc>
          <w:tcPr>
            <w:tcW w:w="1984"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化学工业出版社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restart"/>
            <w:vAlign w:val="center"/>
          </w:tcPr>
          <w:p>
            <w:pPr>
              <w:spacing w:line="440" w:lineRule="exact"/>
              <w:jc w:val="center"/>
              <w:rPr>
                <w:rFonts w:ascii="华文仿宋" w:hAnsi="华文仿宋" w:eastAsia="华文仿宋" w:cs="仿宋"/>
                <w:b/>
                <w:sz w:val="24"/>
                <w:szCs w:val="24"/>
              </w:rPr>
            </w:pPr>
            <w:r>
              <w:rPr>
                <w:rFonts w:hint="eastAsia" w:ascii="华文仿宋" w:hAnsi="华文仿宋" w:eastAsia="华文仿宋" w:cs="仿宋"/>
                <w:b/>
                <w:sz w:val="24"/>
                <w:szCs w:val="24"/>
              </w:rPr>
              <w:t>四</w:t>
            </w:r>
          </w:p>
        </w:tc>
        <w:tc>
          <w:tcPr>
            <w:tcW w:w="1420" w:type="dxa"/>
            <w:vMerge w:val="restart"/>
            <w:vAlign w:val="center"/>
          </w:tcPr>
          <w:p>
            <w:pPr>
              <w:spacing w:line="440" w:lineRule="exact"/>
              <w:jc w:val="center"/>
              <w:rPr>
                <w:rFonts w:ascii="华文仿宋" w:hAnsi="华文仿宋" w:eastAsia="华文仿宋" w:cs="仿宋"/>
                <w:color w:val="FF0000"/>
                <w:sz w:val="24"/>
                <w:szCs w:val="24"/>
              </w:rPr>
            </w:pPr>
            <w:r>
              <w:rPr>
                <w:rFonts w:hint="eastAsia" w:ascii="华文仿宋" w:hAnsi="华文仿宋" w:eastAsia="华文仿宋" w:cs="仿宋"/>
                <w:sz w:val="24"/>
                <w:szCs w:val="24"/>
              </w:rPr>
              <w:t>一体化课程</w:t>
            </w: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样品的滴定分析</w:t>
            </w:r>
          </w:p>
        </w:tc>
        <w:tc>
          <w:tcPr>
            <w:tcW w:w="2395"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样品的滴定分析</w:t>
            </w:r>
          </w:p>
        </w:tc>
        <w:tc>
          <w:tcPr>
            <w:tcW w:w="1984"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化学工业出版社</w:t>
            </w:r>
          </w:p>
        </w:tc>
        <w:tc>
          <w:tcPr>
            <w:tcW w:w="1070" w:type="dxa"/>
            <w:vAlign w:val="center"/>
          </w:tcPr>
          <w:p>
            <w:pPr>
              <w:spacing w:line="440" w:lineRule="exact"/>
              <w:jc w:val="center"/>
              <w:rPr>
                <w:rFonts w:ascii="华文仿宋" w:hAnsi="华文仿宋" w:eastAsia="华文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Merge w:val="continue"/>
            <w:vAlign w:val="center"/>
          </w:tcPr>
          <w:p>
            <w:pPr>
              <w:spacing w:line="440" w:lineRule="exact"/>
              <w:jc w:val="center"/>
              <w:rPr>
                <w:rFonts w:ascii="华文仿宋" w:hAnsi="华文仿宋" w:eastAsia="华文仿宋" w:cs="仿宋"/>
                <w:b/>
                <w:sz w:val="24"/>
                <w:szCs w:val="24"/>
              </w:rPr>
            </w:pPr>
          </w:p>
        </w:tc>
        <w:tc>
          <w:tcPr>
            <w:tcW w:w="1420" w:type="dxa"/>
            <w:vMerge w:val="continue"/>
            <w:vAlign w:val="center"/>
          </w:tcPr>
          <w:p>
            <w:pPr>
              <w:spacing w:line="440" w:lineRule="exact"/>
              <w:jc w:val="center"/>
              <w:rPr>
                <w:rFonts w:ascii="华文仿宋" w:hAnsi="华文仿宋" w:eastAsia="华文仿宋" w:cs="仿宋"/>
                <w:sz w:val="24"/>
                <w:szCs w:val="24"/>
              </w:rPr>
            </w:pPr>
          </w:p>
        </w:tc>
        <w:tc>
          <w:tcPr>
            <w:tcW w:w="2063"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样品的常规仪器分析</w:t>
            </w:r>
          </w:p>
        </w:tc>
        <w:tc>
          <w:tcPr>
            <w:tcW w:w="2395"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样品的常规仪器分析</w:t>
            </w:r>
          </w:p>
        </w:tc>
        <w:tc>
          <w:tcPr>
            <w:tcW w:w="1984" w:type="dxa"/>
            <w:vAlign w:val="center"/>
          </w:tcPr>
          <w:p>
            <w:pPr>
              <w:spacing w:line="440" w:lineRule="exact"/>
              <w:jc w:val="center"/>
              <w:rPr>
                <w:rFonts w:ascii="华文仿宋" w:hAnsi="华文仿宋" w:eastAsia="华文仿宋" w:cs="仿宋"/>
                <w:sz w:val="24"/>
                <w:szCs w:val="24"/>
              </w:rPr>
            </w:pPr>
            <w:r>
              <w:rPr>
                <w:rFonts w:hint="eastAsia" w:ascii="华文仿宋" w:hAnsi="华文仿宋" w:eastAsia="华文仿宋" w:cs="仿宋"/>
                <w:sz w:val="24"/>
                <w:szCs w:val="24"/>
              </w:rPr>
              <w:t>化学工业出版社</w:t>
            </w:r>
          </w:p>
        </w:tc>
        <w:tc>
          <w:tcPr>
            <w:tcW w:w="1070" w:type="dxa"/>
            <w:vAlign w:val="center"/>
          </w:tcPr>
          <w:p>
            <w:pPr>
              <w:spacing w:line="440" w:lineRule="exact"/>
              <w:jc w:val="center"/>
              <w:rPr>
                <w:rFonts w:ascii="华文仿宋" w:hAnsi="华文仿宋" w:eastAsia="华文仿宋" w:cs="仿宋"/>
                <w:sz w:val="24"/>
                <w:szCs w:val="24"/>
              </w:rPr>
            </w:pPr>
          </w:p>
        </w:tc>
      </w:tr>
      <w:bookmarkEnd w:id="6"/>
    </w:tbl>
    <w:p>
      <w:pPr>
        <w:spacing w:line="560" w:lineRule="exact"/>
        <w:ind w:firstLine="570"/>
        <w:rPr>
          <w:rFonts w:ascii="仿宋_GB2312" w:hAnsi="宋体"/>
          <w:sz w:val="28"/>
          <w:szCs w:val="28"/>
        </w:rPr>
      </w:pPr>
      <w:r>
        <w:rPr>
          <w:rFonts w:hint="eastAsia" w:ascii="仿宋_GB2312" w:hAnsi="黑体"/>
          <w:color w:val="000000"/>
          <w:sz w:val="32"/>
        </w:rPr>
        <w:t>（五）教学方法</w:t>
      </w:r>
    </w:p>
    <w:p>
      <w:pPr>
        <w:spacing w:line="560" w:lineRule="exact"/>
        <w:ind w:firstLine="573"/>
        <w:rPr>
          <w:rFonts w:ascii="仿宋_GB2312" w:hAnsi="宋体"/>
          <w:sz w:val="28"/>
          <w:szCs w:val="28"/>
        </w:rPr>
      </w:pPr>
      <w:r>
        <w:rPr>
          <w:rFonts w:hint="eastAsia" w:ascii="仿宋_GB2312" w:hAnsi="宋体"/>
          <w:sz w:val="28"/>
          <w:szCs w:val="28"/>
        </w:rPr>
        <w:t>公共基础课程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pPr>
        <w:spacing w:line="560" w:lineRule="exact"/>
        <w:ind w:firstLine="573"/>
        <w:rPr>
          <w:rFonts w:ascii="仿宋_GB2312" w:hAnsi="宋体"/>
          <w:sz w:val="28"/>
          <w:szCs w:val="28"/>
        </w:rPr>
      </w:pPr>
      <w:r>
        <w:rPr>
          <w:rFonts w:hint="eastAsia" w:ascii="仿宋_GB2312" w:hAnsi="宋体"/>
          <w:sz w:val="28"/>
          <w:szCs w:val="28"/>
        </w:rPr>
        <w:t>专业技能课程教学，按照相应职业岗位（群）的能力要求，强调理论实践一体化，突出“做中学、做中教”的职教特色，建议采用项目教学、案例教学、任务教学、角色扮演、情境教学等方法，创新课堂教学。</w:t>
      </w:r>
    </w:p>
    <w:p>
      <w:pPr>
        <w:spacing w:line="560" w:lineRule="exact"/>
        <w:ind w:firstLine="555"/>
        <w:rPr>
          <w:rFonts w:ascii="仿宋_GB2312" w:hAnsi="宋体"/>
          <w:sz w:val="28"/>
          <w:szCs w:val="28"/>
        </w:rPr>
      </w:pPr>
      <w:r>
        <w:rPr>
          <w:rFonts w:hint="eastAsia" w:ascii="仿宋_GB2312" w:hAnsi="黑体"/>
          <w:color w:val="000000"/>
          <w:sz w:val="32"/>
        </w:rPr>
        <w:t>（六）学习评价</w:t>
      </w:r>
    </w:p>
    <w:p>
      <w:pPr>
        <w:spacing w:line="560" w:lineRule="exact"/>
        <w:ind w:firstLine="570"/>
        <w:rPr>
          <w:rFonts w:ascii="仿宋_GB2312" w:hAnsi="宋体"/>
          <w:sz w:val="28"/>
          <w:szCs w:val="28"/>
        </w:rPr>
      </w:pPr>
      <w:r>
        <w:rPr>
          <w:rFonts w:hint="eastAsia" w:ascii="仿宋_GB2312" w:hAnsi="宋体"/>
          <w:sz w:val="28"/>
          <w:szCs w:val="28"/>
        </w:rPr>
        <w:t>1.教学评价应以能力为评价核心，综合评价专业知识、专业技能、方法能力、职业素质、团队合作等方面。</w:t>
      </w:r>
    </w:p>
    <w:p>
      <w:pPr>
        <w:spacing w:line="560" w:lineRule="exact"/>
        <w:ind w:firstLine="570"/>
        <w:rPr>
          <w:rFonts w:ascii="仿宋_GB2312" w:hAnsi="宋体"/>
          <w:sz w:val="28"/>
          <w:szCs w:val="28"/>
        </w:rPr>
      </w:pPr>
      <w:r>
        <w:rPr>
          <w:rFonts w:hint="eastAsia" w:ascii="仿宋_GB2312" w:hAnsi="宋体"/>
          <w:sz w:val="28"/>
          <w:szCs w:val="28"/>
        </w:rPr>
        <w:t>2.考核以过程性考核为主。根据学生学习态度和纪律、课堂的展示、学习任务和作业完成的情况、阶段测试、合作学习以及创新能力作为平时成绩，平时成绩占70%，考试成绩占30%。同时鼓励学生加强理论方面的学习。</w:t>
      </w:r>
    </w:p>
    <w:p>
      <w:pPr>
        <w:spacing w:line="560" w:lineRule="exact"/>
        <w:ind w:firstLine="555"/>
        <w:rPr>
          <w:rFonts w:ascii="仿宋_GB2312" w:hAnsi="黑体"/>
          <w:color w:val="000000"/>
          <w:sz w:val="32"/>
        </w:rPr>
      </w:pPr>
      <w:r>
        <w:rPr>
          <w:rFonts w:hint="eastAsia" w:ascii="仿宋_GB2312" w:hAnsi="黑体"/>
          <w:color w:val="000000"/>
          <w:sz w:val="32"/>
        </w:rPr>
        <w:t>（七）教学管理制度</w:t>
      </w:r>
    </w:p>
    <w:p>
      <w:pPr>
        <w:spacing w:line="560" w:lineRule="exact"/>
        <w:rPr>
          <w:rFonts w:ascii="仿宋_GB2312" w:hAnsi="黑体"/>
          <w:sz w:val="28"/>
          <w:szCs w:val="28"/>
        </w:rPr>
      </w:pPr>
      <w:r>
        <w:rPr>
          <w:rFonts w:hint="eastAsia" w:ascii="宋体" w:hAnsi="宋体"/>
          <w:sz w:val="28"/>
          <w:szCs w:val="28"/>
        </w:rPr>
        <w:t xml:space="preserve">     </w:t>
      </w:r>
      <w:r>
        <w:rPr>
          <w:rFonts w:hint="eastAsia" w:ascii="仿宋_GB2312" w:hAnsi="宋体"/>
          <w:sz w:val="28"/>
          <w:szCs w:val="28"/>
        </w:rPr>
        <w:t>贯彻ISO9001-2008质量管理体系理念，加强人才培养过程质量监控。以“工学结合”实践教学为重点，强化人才培养全过程质量监控。制定教育教学质量监控管理程序与标准、主要教学环节质量监控管理程序和教育教学质量监控体系管理文件等。建议以“过程控制”为重点，构建教育教学质量与监控体系等，实现教学管理与监控二线分开。</w:t>
      </w:r>
    </w:p>
    <w:p>
      <w:pPr>
        <w:spacing w:line="560" w:lineRule="exact"/>
        <w:ind w:firstLine="555"/>
        <w:rPr>
          <w:rFonts w:ascii="仿宋_GB2312" w:hAnsi="黑体"/>
          <w:color w:val="000000"/>
          <w:sz w:val="32"/>
        </w:rPr>
      </w:pPr>
      <w:r>
        <w:rPr>
          <w:rFonts w:hint="eastAsia" w:ascii="仿宋_GB2312" w:hAnsi="黑体"/>
          <w:color w:val="000000"/>
          <w:sz w:val="32"/>
        </w:rPr>
        <w:t>（八）质量管理</w:t>
      </w:r>
    </w:p>
    <w:p>
      <w:pPr>
        <w:pStyle w:val="3"/>
        <w:widowControl/>
        <w:spacing w:beforeAutospacing="0" w:afterAutospacing="0" w:line="560" w:lineRule="exact"/>
        <w:ind w:firstLine="560" w:firstLineChars="200"/>
        <w:rPr>
          <w:rFonts w:hint="default" w:ascii="仿宋_GB2312" w:eastAsia="仿宋_GB2312" w:cstheme="minorBidi"/>
          <w:b w:val="0"/>
          <w:bCs w:val="0"/>
          <w:kern w:val="2"/>
          <w:sz w:val="28"/>
          <w:szCs w:val="28"/>
        </w:rPr>
      </w:pPr>
      <w:r>
        <w:rPr>
          <w:rFonts w:ascii="仿宋_GB2312" w:eastAsia="仿宋_GB2312" w:cstheme="minorBidi"/>
          <w:b w:val="0"/>
          <w:bCs w:val="0"/>
          <w:kern w:val="2"/>
          <w:sz w:val="28"/>
          <w:szCs w:val="28"/>
        </w:rPr>
        <w:t>1.教学质量监控</w:t>
      </w:r>
    </w:p>
    <w:p>
      <w:pPr>
        <w:widowControl/>
        <w:spacing w:line="560" w:lineRule="exact"/>
        <w:jc w:val="left"/>
        <w:rPr>
          <w:rFonts w:ascii="仿宋_GB2312" w:hAnsi="宋体"/>
          <w:sz w:val="28"/>
          <w:szCs w:val="28"/>
        </w:rPr>
      </w:pPr>
      <w:r>
        <w:rPr>
          <w:rFonts w:hint="eastAsia" w:ascii="仿宋_GB2312" w:hAnsi="宋体"/>
          <w:sz w:val="28"/>
          <w:szCs w:val="28"/>
        </w:rPr>
        <w:t>依据我校一体化课程质量评价体系指标，教学管理部门通过听评课、师生问卷调查、学生座谈会、调查数据测评等多种形式，实施专业班级课程教学质量监控。每学期组织一体化课程教学工作阶段性总结，邀请专家参与评审，针对存在问题和反馈意见及时做好整改工作。</w:t>
      </w:r>
    </w:p>
    <w:p>
      <w:pPr>
        <w:pStyle w:val="3"/>
        <w:widowControl/>
        <w:spacing w:beforeAutospacing="0" w:afterAutospacing="0" w:line="560" w:lineRule="exact"/>
        <w:ind w:firstLine="560" w:firstLineChars="200"/>
        <w:rPr>
          <w:rFonts w:hint="default" w:ascii="仿宋_GB2312" w:eastAsia="仿宋_GB2312" w:cstheme="minorBidi"/>
          <w:b w:val="0"/>
          <w:bCs w:val="0"/>
          <w:kern w:val="2"/>
          <w:sz w:val="28"/>
          <w:szCs w:val="28"/>
        </w:rPr>
      </w:pPr>
      <w:r>
        <w:rPr>
          <w:rFonts w:ascii="仿宋_GB2312" w:eastAsia="仿宋_GB2312" w:cstheme="minorBidi"/>
          <w:b w:val="0"/>
          <w:bCs w:val="0"/>
          <w:kern w:val="2"/>
          <w:sz w:val="28"/>
          <w:szCs w:val="28"/>
        </w:rPr>
        <w:t>2.学生学业评价</w:t>
      </w:r>
    </w:p>
    <w:p>
      <w:pPr>
        <w:widowControl/>
        <w:spacing w:line="560" w:lineRule="exact"/>
        <w:ind w:firstLine="560" w:firstLineChars="200"/>
        <w:jc w:val="left"/>
        <w:rPr>
          <w:rFonts w:ascii="仿宋_GB2312" w:hAnsi="宋体"/>
          <w:sz w:val="28"/>
          <w:szCs w:val="28"/>
        </w:rPr>
      </w:pPr>
      <w:r>
        <w:rPr>
          <w:rFonts w:hint="eastAsia" w:ascii="仿宋_GB2312" w:hAnsi="宋体"/>
          <w:sz w:val="28"/>
          <w:szCs w:val="28"/>
        </w:rPr>
        <w:t>依据每门课程学习目标，开展学生课程学习专业能力及关键能力项目的考核，实施学生学业评价，注重评价标准、评价主体、评价方式的多元化。</w:t>
      </w:r>
    </w:p>
    <w:p>
      <w:pPr>
        <w:pStyle w:val="3"/>
        <w:widowControl/>
        <w:spacing w:beforeAutospacing="0" w:afterAutospacing="0" w:line="560" w:lineRule="exact"/>
        <w:ind w:firstLine="560" w:firstLineChars="200"/>
        <w:rPr>
          <w:rFonts w:hint="default" w:ascii="仿宋_GB2312" w:eastAsia="仿宋_GB2312" w:cstheme="minorBidi"/>
          <w:b w:val="0"/>
          <w:bCs w:val="0"/>
          <w:kern w:val="2"/>
          <w:sz w:val="28"/>
          <w:szCs w:val="28"/>
        </w:rPr>
      </w:pPr>
      <w:r>
        <w:rPr>
          <w:rFonts w:ascii="仿宋_GB2312" w:eastAsia="仿宋_GB2312" w:cstheme="minorBidi"/>
          <w:b w:val="0"/>
          <w:bCs w:val="0"/>
          <w:kern w:val="2"/>
          <w:sz w:val="28"/>
          <w:szCs w:val="28"/>
        </w:rPr>
        <w:t>3.职业技能鉴定</w:t>
      </w:r>
    </w:p>
    <w:p>
      <w:pPr>
        <w:widowControl/>
        <w:spacing w:line="560" w:lineRule="exact"/>
        <w:ind w:firstLine="560" w:firstLineChars="200"/>
        <w:jc w:val="left"/>
        <w:rPr>
          <w:rFonts w:ascii="仿宋_GB2312" w:hAnsi="宋体"/>
          <w:sz w:val="28"/>
          <w:szCs w:val="28"/>
        </w:rPr>
      </w:pPr>
      <w:r>
        <w:rPr>
          <w:rFonts w:hint="eastAsia" w:ascii="仿宋_GB2312" w:hAnsi="宋体"/>
          <w:sz w:val="28"/>
          <w:szCs w:val="28"/>
        </w:rPr>
        <w:t>按照《国家职业标准》开展学生职业技能鉴定，学生需取得相应技能等级职业资格证，取证通过率应达100%。</w:t>
      </w:r>
    </w:p>
    <w:p>
      <w:pPr>
        <w:pStyle w:val="3"/>
        <w:widowControl/>
        <w:spacing w:beforeAutospacing="0" w:afterAutospacing="0" w:line="560" w:lineRule="exact"/>
        <w:ind w:firstLine="560" w:firstLineChars="200"/>
        <w:rPr>
          <w:rFonts w:hint="default" w:ascii="仿宋_GB2312" w:eastAsia="仿宋_GB2312" w:cstheme="minorBidi"/>
          <w:b w:val="0"/>
          <w:bCs w:val="0"/>
          <w:kern w:val="2"/>
          <w:sz w:val="28"/>
          <w:szCs w:val="28"/>
        </w:rPr>
      </w:pPr>
      <w:r>
        <w:rPr>
          <w:rFonts w:ascii="仿宋_GB2312" w:eastAsia="仿宋_GB2312" w:cstheme="minorBidi"/>
          <w:b w:val="0"/>
          <w:bCs w:val="0"/>
          <w:kern w:val="2"/>
          <w:sz w:val="28"/>
          <w:szCs w:val="28"/>
        </w:rPr>
        <w:t>4.职业能力测评</w:t>
      </w:r>
    </w:p>
    <w:p>
      <w:pPr>
        <w:widowControl/>
        <w:spacing w:line="560" w:lineRule="exact"/>
        <w:ind w:firstLine="560" w:firstLineChars="200"/>
        <w:jc w:val="left"/>
        <w:rPr>
          <w:rFonts w:ascii="仿宋_GB2312" w:hAnsi="宋体"/>
          <w:sz w:val="28"/>
          <w:szCs w:val="28"/>
        </w:rPr>
      </w:pPr>
      <w:r>
        <w:rPr>
          <w:rFonts w:hint="eastAsia" w:ascii="仿宋_GB2312" w:hAnsi="宋体"/>
          <w:sz w:val="28"/>
          <w:szCs w:val="28"/>
        </w:rPr>
        <w:t>依据过程性评价与结果性评价相结合的原则，在学生课程学业评价的基础上，编制学生综合职业能力测评考核试题，邀请职教专家、行业企业专家参与，共同实施学生职业能力测评。</w:t>
      </w:r>
    </w:p>
    <w:p>
      <w:pPr>
        <w:spacing w:line="560" w:lineRule="exact"/>
        <w:ind w:firstLine="555"/>
        <w:rPr>
          <w:rFonts w:ascii="黑体" w:hAnsi="黑体" w:eastAsia="黑体"/>
          <w:b/>
          <w:sz w:val="32"/>
          <w:szCs w:val="32"/>
        </w:rPr>
      </w:pPr>
      <w:r>
        <w:rPr>
          <w:rFonts w:hint="eastAsia" w:ascii="黑体" w:hAnsi="黑体" w:eastAsia="黑体"/>
          <w:b/>
          <w:sz w:val="32"/>
          <w:szCs w:val="32"/>
        </w:rPr>
        <w:t>九、毕业要求</w:t>
      </w:r>
    </w:p>
    <w:p>
      <w:pPr>
        <w:spacing w:line="560" w:lineRule="exact"/>
        <w:ind w:firstLine="555"/>
        <w:rPr>
          <w:rFonts w:ascii="仿宋_GB2312" w:hAnsi="宋体"/>
          <w:sz w:val="28"/>
          <w:szCs w:val="28"/>
        </w:rPr>
      </w:pPr>
      <w:r>
        <w:rPr>
          <w:rFonts w:hint="eastAsia" w:ascii="仿宋_GB2312" w:hAnsi="宋体"/>
          <w:sz w:val="28"/>
          <w:szCs w:val="28"/>
        </w:rPr>
        <w:t>本专业毕业生应完成3年的学习，修满的专业人才培养方案所规定的学时（学分），完成规定的教学活动，取得化学检验工中级职业资格证书，具备以下职业素养、专业知识和技能：</w:t>
      </w:r>
    </w:p>
    <w:p>
      <w:pPr>
        <w:spacing w:line="560" w:lineRule="exact"/>
        <w:ind w:firstLine="555"/>
        <w:rPr>
          <w:rFonts w:ascii="仿宋_GB2312" w:hAnsi="黑体"/>
          <w:color w:val="000000"/>
          <w:sz w:val="28"/>
          <w:szCs w:val="28"/>
        </w:rPr>
      </w:pPr>
      <w:r>
        <w:rPr>
          <w:rFonts w:hint="eastAsia" w:ascii="仿宋_GB2312" w:hAnsi="黑体"/>
          <w:color w:val="000000"/>
          <w:sz w:val="28"/>
          <w:szCs w:val="28"/>
        </w:rPr>
        <w:t>（一）职业素养</w:t>
      </w:r>
    </w:p>
    <w:p>
      <w:pPr>
        <w:spacing w:line="560" w:lineRule="exact"/>
        <w:ind w:firstLine="560" w:firstLineChars="200"/>
        <w:rPr>
          <w:rFonts w:ascii="仿宋_GB2312" w:hAnsi="宋体"/>
          <w:sz w:val="28"/>
          <w:szCs w:val="28"/>
        </w:rPr>
      </w:pPr>
      <w:r>
        <w:rPr>
          <w:rFonts w:hint="eastAsia" w:ascii="仿宋_GB2312" w:hAnsi="宋体"/>
          <w:sz w:val="28"/>
          <w:szCs w:val="28"/>
        </w:rPr>
        <w:t>具有马列主义、毛泽东思想、邓小平理论的基础知识；具有热爱人民、热爱党、热爱社会主义祖国、热爱劳动、热爱科学的思想觉悟；掌握体育的基本知识和技能，坚持体育锻炼，促进身心正常发展,了解卫生、保健知识，养成良好的体育锻炼和卫生习惯，具有健康的体魄和良好的心理素质。具有良好的敬业精神、职业道德和团队精神；具有基本的法律常识；具有基本的科学文化素质，掌握本专业(工种)所必需的文化基础知识和基本技能，形成一定的科学精神和创业意识；具有收集和处理信息的能力、语言文字表达能力以及分析和解决问题的能力。</w:t>
      </w:r>
    </w:p>
    <w:p>
      <w:pPr>
        <w:spacing w:line="560" w:lineRule="exact"/>
        <w:ind w:firstLine="555"/>
        <w:rPr>
          <w:rFonts w:ascii="仿宋_GB2312" w:hAnsi="黑体"/>
          <w:color w:val="000000"/>
          <w:sz w:val="28"/>
          <w:szCs w:val="28"/>
        </w:rPr>
      </w:pPr>
      <w:r>
        <w:rPr>
          <w:rFonts w:hint="eastAsia" w:ascii="仿宋_GB2312" w:hAnsi="黑体"/>
          <w:color w:val="000000"/>
          <w:sz w:val="28"/>
          <w:szCs w:val="28"/>
        </w:rPr>
        <w:t>（二）专业知识和技能</w:t>
      </w:r>
    </w:p>
    <w:p>
      <w:pPr>
        <w:spacing w:line="560" w:lineRule="exact"/>
        <w:ind w:firstLine="560" w:firstLineChars="200"/>
        <w:rPr>
          <w:rFonts w:ascii="仿宋_GB2312" w:hAnsi="宋体"/>
          <w:sz w:val="28"/>
          <w:szCs w:val="28"/>
        </w:rPr>
      </w:pPr>
      <w:r>
        <w:rPr>
          <w:rFonts w:hint="eastAsia" w:ascii="仿宋_GB2312" w:hAnsi="宋体"/>
          <w:sz w:val="28"/>
          <w:szCs w:val="28"/>
        </w:rPr>
        <w:t>具有较扎实的文化基础知识，树立安全、节能、环保意识，掌握一定的化学分析和仪器分析的基本理论，并能运用所学知识分析和解决一般问题的能力；较熟练地掌握常用的化学分析和仪器分析操作技能；能正确选择和使用分析中常用的化学试剂；会使用常见分析仪器；能正确处理实验数据；对于日常分析工作中出现的异常现象能找出原因，提出改进方法；初步具有选择分析方法的能力；具有一定的实验室管理能力；能阅读本专业的技术资料；能正确理解和执行本专业的各类标准；具有初步的计算机操作及应用能力。操作技能应达到中级技术工人的水平。</w:t>
      </w:r>
    </w:p>
    <w:p>
      <w:pPr>
        <w:spacing w:line="560" w:lineRule="exact"/>
        <w:ind w:firstLine="555"/>
        <w:rPr>
          <w:rFonts w:ascii="仿宋_GB2312" w:hAnsi="宋体"/>
          <w:sz w:val="28"/>
          <w:szCs w:val="28"/>
        </w:rPr>
      </w:pPr>
    </w:p>
    <w:sectPr>
      <w:footerReference r:id="rId3" w:type="default"/>
      <w:pgSz w:w="11906" w:h="16838"/>
      <w:pgMar w:top="1418" w:right="1418" w:bottom="1417" w:left="1418"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67BF2E-811F-4C49-B7E3-AB4CB3EC0FE3}"/>
  </w:font>
  <w:font w:name="黑体">
    <w:panose1 w:val="02010609060101010101"/>
    <w:charset w:val="86"/>
    <w:family w:val="auto"/>
    <w:pitch w:val="default"/>
    <w:sig w:usb0="800002BF" w:usb1="38CF7CFA" w:usb2="00000016" w:usb3="00000000" w:csb0="00040001" w:csb1="00000000"/>
    <w:embedRegular r:id="rId2" w:fontKey="{620B4B95-8672-4F72-810C-1F5981F5D2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3" w:fontKey="{AC6F894E-B234-4603-903D-48F03CDA1975}"/>
  </w:font>
  <w:font w:name="方正小标宋简体">
    <w:panose1 w:val="02000000000000000000"/>
    <w:charset w:val="86"/>
    <w:family w:val="auto"/>
    <w:pitch w:val="default"/>
    <w:sig w:usb0="00000001" w:usb1="08000000" w:usb2="00000000" w:usb3="00000000" w:csb0="00040000" w:csb1="00000000"/>
    <w:embedRegular r:id="rId4" w:fontKey="{C2DA7B1B-15D8-408C-8DC3-77DB130D6A2A}"/>
  </w:font>
  <w:font w:name="仿宋">
    <w:panose1 w:val="02010609060101010101"/>
    <w:charset w:val="86"/>
    <w:family w:val="modern"/>
    <w:pitch w:val="default"/>
    <w:sig w:usb0="800002BF" w:usb1="38CF7CFA" w:usb2="00000016" w:usb3="00000000" w:csb0="00040001" w:csb1="00000000"/>
    <w:embedRegular r:id="rId5" w:fontKey="{AEC897DD-EDE3-4BCB-88B5-DF7A8466DBE5}"/>
  </w:font>
  <w:font w:name="华文仿宋">
    <w:panose1 w:val="02010600040101010101"/>
    <w:charset w:val="86"/>
    <w:family w:val="auto"/>
    <w:pitch w:val="default"/>
    <w:sig w:usb0="00000287" w:usb1="080F0000" w:usb2="00000000" w:usb3="00000000" w:csb0="0004009F" w:csb1="DFD70000"/>
    <w:embedRegular r:id="rId6" w:fontKey="{72E72973-2850-4F61-ABB4-3B1E587F6E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2439"/>
    </w:sdtPr>
    <w:sdtEndPr>
      <w:rPr>
        <w:sz w:val="24"/>
        <w:szCs w:val="24"/>
      </w:rPr>
    </w:sdtEndPr>
    <w:sdtContent>
      <w:p>
        <w:pPr>
          <w:pStyle w:val="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10</w:t>
        </w:r>
        <w:r>
          <w:rPr>
            <w:sz w:val="24"/>
            <w:szCs w:val="24"/>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A5FCF"/>
    <w:multiLevelType w:val="singleLevel"/>
    <w:tmpl w:val="2CFA5F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MTUwN2MwNTZlNTc4YzJhMjMxODIzZmUxMDQ4YzAifQ=="/>
  </w:docVars>
  <w:rsids>
    <w:rsidRoot w:val="008B3858"/>
    <w:rsid w:val="00021590"/>
    <w:rsid w:val="0007114E"/>
    <w:rsid w:val="00074054"/>
    <w:rsid w:val="000878D3"/>
    <w:rsid w:val="000B5AB7"/>
    <w:rsid w:val="000E2170"/>
    <w:rsid w:val="00113AE4"/>
    <w:rsid w:val="001815D3"/>
    <w:rsid w:val="001E02A8"/>
    <w:rsid w:val="00250582"/>
    <w:rsid w:val="00277143"/>
    <w:rsid w:val="002D122B"/>
    <w:rsid w:val="0031649B"/>
    <w:rsid w:val="00365759"/>
    <w:rsid w:val="003B12A5"/>
    <w:rsid w:val="003E4D62"/>
    <w:rsid w:val="003F2121"/>
    <w:rsid w:val="0046655C"/>
    <w:rsid w:val="004A2226"/>
    <w:rsid w:val="004D1F24"/>
    <w:rsid w:val="004F2D16"/>
    <w:rsid w:val="0051140F"/>
    <w:rsid w:val="00514422"/>
    <w:rsid w:val="005174C7"/>
    <w:rsid w:val="005C1820"/>
    <w:rsid w:val="005E2DF8"/>
    <w:rsid w:val="00675C4D"/>
    <w:rsid w:val="006C652E"/>
    <w:rsid w:val="007857FF"/>
    <w:rsid w:val="00801AFF"/>
    <w:rsid w:val="00804F28"/>
    <w:rsid w:val="008352B4"/>
    <w:rsid w:val="00842305"/>
    <w:rsid w:val="008B3858"/>
    <w:rsid w:val="009107B2"/>
    <w:rsid w:val="009217DF"/>
    <w:rsid w:val="00950C95"/>
    <w:rsid w:val="0098558C"/>
    <w:rsid w:val="009F2A4C"/>
    <w:rsid w:val="009F4D03"/>
    <w:rsid w:val="00A32538"/>
    <w:rsid w:val="00A650E7"/>
    <w:rsid w:val="00A94CB4"/>
    <w:rsid w:val="00AC3CC6"/>
    <w:rsid w:val="00B060FF"/>
    <w:rsid w:val="00B109B4"/>
    <w:rsid w:val="00B144E9"/>
    <w:rsid w:val="00B26A93"/>
    <w:rsid w:val="00BA6BEA"/>
    <w:rsid w:val="00BD1D48"/>
    <w:rsid w:val="00C006D9"/>
    <w:rsid w:val="00C4453F"/>
    <w:rsid w:val="00C563B1"/>
    <w:rsid w:val="00CA4F30"/>
    <w:rsid w:val="00CD42AD"/>
    <w:rsid w:val="00D57A24"/>
    <w:rsid w:val="00D74004"/>
    <w:rsid w:val="00DB17CD"/>
    <w:rsid w:val="00DD4CF2"/>
    <w:rsid w:val="00E15F8C"/>
    <w:rsid w:val="00E250C7"/>
    <w:rsid w:val="00E8329A"/>
    <w:rsid w:val="00EA1D39"/>
    <w:rsid w:val="00EB2C9C"/>
    <w:rsid w:val="00ED1584"/>
    <w:rsid w:val="00F22362"/>
    <w:rsid w:val="00F25A82"/>
    <w:rsid w:val="00F64723"/>
    <w:rsid w:val="00F72D69"/>
    <w:rsid w:val="00F845B7"/>
    <w:rsid w:val="00FC2CD2"/>
    <w:rsid w:val="00FE44D5"/>
    <w:rsid w:val="00FF1197"/>
    <w:rsid w:val="00FF2031"/>
    <w:rsid w:val="01812FE8"/>
    <w:rsid w:val="03B1131C"/>
    <w:rsid w:val="04581CB1"/>
    <w:rsid w:val="04B266E6"/>
    <w:rsid w:val="065E4D16"/>
    <w:rsid w:val="0A2F4C16"/>
    <w:rsid w:val="0C153471"/>
    <w:rsid w:val="0C1E63CC"/>
    <w:rsid w:val="0D2969C7"/>
    <w:rsid w:val="10902700"/>
    <w:rsid w:val="10A271C3"/>
    <w:rsid w:val="110558A7"/>
    <w:rsid w:val="1222349E"/>
    <w:rsid w:val="12E81B6E"/>
    <w:rsid w:val="134D0D3C"/>
    <w:rsid w:val="152A23AE"/>
    <w:rsid w:val="1662682A"/>
    <w:rsid w:val="18584577"/>
    <w:rsid w:val="18A25046"/>
    <w:rsid w:val="18EB572B"/>
    <w:rsid w:val="18F0524E"/>
    <w:rsid w:val="1AE34AB0"/>
    <w:rsid w:val="1B1F162A"/>
    <w:rsid w:val="1C155353"/>
    <w:rsid w:val="1C512E16"/>
    <w:rsid w:val="1C746345"/>
    <w:rsid w:val="1C7B60E4"/>
    <w:rsid w:val="1DAF4298"/>
    <w:rsid w:val="1E036392"/>
    <w:rsid w:val="1E68578F"/>
    <w:rsid w:val="1EC83421"/>
    <w:rsid w:val="1EED151B"/>
    <w:rsid w:val="20084133"/>
    <w:rsid w:val="200F794B"/>
    <w:rsid w:val="209A1905"/>
    <w:rsid w:val="20E96000"/>
    <w:rsid w:val="21891CF1"/>
    <w:rsid w:val="221768AF"/>
    <w:rsid w:val="24890658"/>
    <w:rsid w:val="26104605"/>
    <w:rsid w:val="28123B78"/>
    <w:rsid w:val="28325DCA"/>
    <w:rsid w:val="297113EB"/>
    <w:rsid w:val="2B726905"/>
    <w:rsid w:val="2BBA12BD"/>
    <w:rsid w:val="2D2A56E9"/>
    <w:rsid w:val="2E1D6778"/>
    <w:rsid w:val="2EDC4140"/>
    <w:rsid w:val="2FEF1E6C"/>
    <w:rsid w:val="32072437"/>
    <w:rsid w:val="322D3993"/>
    <w:rsid w:val="3232545A"/>
    <w:rsid w:val="323E5B9E"/>
    <w:rsid w:val="325331DF"/>
    <w:rsid w:val="32A717D8"/>
    <w:rsid w:val="333642E6"/>
    <w:rsid w:val="33F94932"/>
    <w:rsid w:val="342C1116"/>
    <w:rsid w:val="34D9384A"/>
    <w:rsid w:val="355E1D87"/>
    <w:rsid w:val="382464DF"/>
    <w:rsid w:val="388B0FD0"/>
    <w:rsid w:val="38C2711D"/>
    <w:rsid w:val="39296B83"/>
    <w:rsid w:val="394C69E7"/>
    <w:rsid w:val="398B5A50"/>
    <w:rsid w:val="3991089E"/>
    <w:rsid w:val="39E61843"/>
    <w:rsid w:val="3A9C596E"/>
    <w:rsid w:val="3B141786"/>
    <w:rsid w:val="3C705082"/>
    <w:rsid w:val="3C7A5106"/>
    <w:rsid w:val="3D0A7413"/>
    <w:rsid w:val="3D4015F6"/>
    <w:rsid w:val="3F006486"/>
    <w:rsid w:val="3FA62626"/>
    <w:rsid w:val="40652657"/>
    <w:rsid w:val="42444897"/>
    <w:rsid w:val="42984EB8"/>
    <w:rsid w:val="433D3482"/>
    <w:rsid w:val="44286348"/>
    <w:rsid w:val="45565007"/>
    <w:rsid w:val="46776B3E"/>
    <w:rsid w:val="46912332"/>
    <w:rsid w:val="469A42EF"/>
    <w:rsid w:val="476F764D"/>
    <w:rsid w:val="47D063A6"/>
    <w:rsid w:val="493F3E72"/>
    <w:rsid w:val="4A5120AF"/>
    <w:rsid w:val="4C7E066F"/>
    <w:rsid w:val="4CEA4190"/>
    <w:rsid w:val="4E710F72"/>
    <w:rsid w:val="4F8151E4"/>
    <w:rsid w:val="51174C6C"/>
    <w:rsid w:val="51244152"/>
    <w:rsid w:val="52174561"/>
    <w:rsid w:val="53C20DFC"/>
    <w:rsid w:val="53DC611F"/>
    <w:rsid w:val="549D1A60"/>
    <w:rsid w:val="568C7425"/>
    <w:rsid w:val="5B934506"/>
    <w:rsid w:val="5C2D3EEC"/>
    <w:rsid w:val="5D4A0D55"/>
    <w:rsid w:val="5EAB2070"/>
    <w:rsid w:val="5FDE21DF"/>
    <w:rsid w:val="6008100A"/>
    <w:rsid w:val="6211222D"/>
    <w:rsid w:val="6269698D"/>
    <w:rsid w:val="628250A4"/>
    <w:rsid w:val="62CD0E3F"/>
    <w:rsid w:val="64193674"/>
    <w:rsid w:val="64AD67BD"/>
    <w:rsid w:val="64B17048"/>
    <w:rsid w:val="65FC4328"/>
    <w:rsid w:val="66363ABA"/>
    <w:rsid w:val="663F6D8F"/>
    <w:rsid w:val="6659401B"/>
    <w:rsid w:val="67C712C0"/>
    <w:rsid w:val="68790CF7"/>
    <w:rsid w:val="68E8097C"/>
    <w:rsid w:val="6ACE4BFE"/>
    <w:rsid w:val="6B221D60"/>
    <w:rsid w:val="6BA02130"/>
    <w:rsid w:val="6BDE49FC"/>
    <w:rsid w:val="6BF071B6"/>
    <w:rsid w:val="6C4E1DDE"/>
    <w:rsid w:val="6C9C6D62"/>
    <w:rsid w:val="6CBD4349"/>
    <w:rsid w:val="6CFF011A"/>
    <w:rsid w:val="6EF4362C"/>
    <w:rsid w:val="6F946416"/>
    <w:rsid w:val="6FB852FD"/>
    <w:rsid w:val="704B744E"/>
    <w:rsid w:val="71BD778F"/>
    <w:rsid w:val="750C7CC8"/>
    <w:rsid w:val="75C42F52"/>
    <w:rsid w:val="767362E8"/>
    <w:rsid w:val="7ADB657C"/>
    <w:rsid w:val="7CDD7BAD"/>
    <w:rsid w:val="7D5B67C5"/>
    <w:rsid w:val="7E292420"/>
    <w:rsid w:val="7EDB1D50"/>
    <w:rsid w:val="7F207CC7"/>
    <w:rsid w:val="7F651B7D"/>
    <w:rsid w:val="7F920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0"/>
      <w:szCs w:val="30"/>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paragraph" w:styleId="11">
    <w:name w:val="List Paragraph"/>
    <w:basedOn w:val="1"/>
    <w:qFormat/>
    <w:uiPriority w:val="34"/>
    <w:pPr>
      <w:ind w:firstLine="420" w:firstLineChars="200"/>
    </w:pPr>
    <w:rPr>
      <w:rFonts w:cs="Times New Roman"/>
    </w:rPr>
  </w:style>
  <w:style w:type="character" w:customStyle="1" w:styleId="12">
    <w:name w:val="标题 1 字符"/>
    <w:basedOn w:val="9"/>
    <w:link w:val="2"/>
    <w:qFormat/>
    <w:uiPriority w:val="9"/>
    <w:rPr>
      <w:rFonts w:ascii="宋体" w:hAnsi="宋体" w:eastAsia="宋体" w:cs="宋体"/>
      <w:b/>
      <w:bCs/>
      <w:kern w:val="36"/>
      <w:sz w:val="48"/>
      <w:szCs w:val="48"/>
    </w:rPr>
  </w:style>
  <w:style w:type="character" w:customStyle="1" w:styleId="13">
    <w:name w:val="页眉 字符"/>
    <w:basedOn w:val="9"/>
    <w:link w:val="6"/>
    <w:semiHidden/>
    <w:qFormat/>
    <w:uiPriority w:val="99"/>
    <w:rPr>
      <w:rFonts w:ascii="Times New Roman" w:hAnsi="Times New Roman" w:eastAsia="仿宋_GB2312"/>
      <w:sz w:val="18"/>
      <w:szCs w:val="18"/>
    </w:rPr>
  </w:style>
  <w:style w:type="character" w:customStyle="1" w:styleId="14">
    <w:name w:val="页脚 字符"/>
    <w:basedOn w:val="9"/>
    <w:link w:val="5"/>
    <w:qFormat/>
    <w:uiPriority w:val="99"/>
    <w:rPr>
      <w:rFonts w:ascii="Times New Roman" w:hAnsi="Times New Roman" w:eastAsia="仿宋_GB2312"/>
      <w:sz w:val="18"/>
      <w:szCs w:val="18"/>
    </w:rPr>
  </w:style>
  <w:style w:type="paragraph" w:styleId="15">
    <w:name w:val="No Spacing"/>
    <w:qFormat/>
    <w:uiPriority w:val="1"/>
    <w:pPr>
      <w:widowControl w:val="0"/>
      <w:jc w:val="both"/>
    </w:pPr>
    <w:rPr>
      <w:rFonts w:ascii="Times New Roman" w:hAnsi="Times New Roman" w:eastAsia="仿宋_GB2312" w:cstheme="minorBidi"/>
      <w:kern w:val="2"/>
      <w:sz w:val="30"/>
      <w:szCs w:val="30"/>
      <w:lang w:val="en-US" w:eastAsia="zh-CN" w:bidi="ar-SA"/>
    </w:rPr>
  </w:style>
  <w:style w:type="paragraph" w:customStyle="1" w:styleId="16">
    <w:name w:val="专业教学方案正文"/>
    <w:basedOn w:val="1"/>
    <w:qFormat/>
    <w:uiPriority w:val="0"/>
    <w:pPr>
      <w:widowControl/>
      <w:ind w:firstLine="200" w:firstLineChars="200"/>
    </w:pPr>
    <w:rPr>
      <w:rFonts w:ascii="黑体" w:hAnsi="黑体" w:eastAsia="黑体"/>
      <w:kern w:val="0"/>
      <w:szCs w:val="21"/>
    </w:rPr>
  </w:style>
  <w:style w:type="paragraph" w:customStyle="1" w:styleId="17">
    <w:name w:val="专业教育方案标题二"/>
    <w:basedOn w:val="1"/>
    <w:qFormat/>
    <w:uiPriority w:val="0"/>
    <w:pPr>
      <w:spacing w:line="360" w:lineRule="exact"/>
      <w:ind w:firstLine="420"/>
      <w:jc w:val="left"/>
    </w:pPr>
    <w:rPr>
      <w:rFonts w:ascii="黑体" w:hAnsi="黑体"/>
      <w:b/>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14178</Words>
  <Characters>14551</Characters>
  <Lines>113</Lines>
  <Paragraphs>32</Paragraphs>
  <TotalTime>18</TotalTime>
  <ScaleCrop>false</ScaleCrop>
  <LinksUpToDate>false</LinksUpToDate>
  <CharactersWithSpaces>14695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2021-12-07T00:49:00Z</dcterms:created>
  <dc:creator>Administrator</dc:creator>
  <cp:lastModifiedBy>Administrator</cp:lastModifiedBy>
  <cp:lastPrinted>2022-01-16T00:29:00Z</cp:lastPrinted>
  <dcterms:modified xsi:type="dcterms:W3CDTF">2024-06-28T03:28:14Z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C6549536E8A4474C82E917AD54DA4B01</vt:lpwstr>
  </property>
</Properties>
</file>