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442" w:firstLineChars="100"/>
        <w:jc w:val="center"/>
        <w:rPr>
          <w:rStyle w:val="6"/>
          <w:rFonts w:ascii="宋体" w:hAnsi="宋体" w:cs="宋体"/>
          <w:b/>
          <w:bCs/>
          <w:snapToGrid w:val="0"/>
          <w:kern w:val="0"/>
          <w:sz w:val="44"/>
          <w:szCs w:val="36"/>
        </w:rPr>
      </w:pPr>
      <w:r>
        <w:rPr>
          <w:rStyle w:val="6"/>
          <w:rFonts w:hint="eastAsia" w:ascii="宋体" w:hAnsi="宋体" w:cs="宋体"/>
          <w:b/>
          <w:bCs/>
          <w:snapToGrid w:val="0"/>
          <w:kern w:val="0"/>
          <w:sz w:val="44"/>
          <w:szCs w:val="36"/>
        </w:rPr>
        <w:t>广西工业技师学院部门预算编制说明</w:t>
      </w:r>
    </w:p>
    <w:p>
      <w:pPr>
        <w:spacing w:line="570" w:lineRule="exact"/>
        <w:ind w:firstLine="522" w:firstLineChars="100"/>
        <w:jc w:val="center"/>
        <w:rPr>
          <w:rStyle w:val="6"/>
          <w:rFonts w:ascii="方正小标宋简体" w:hAnsi="宋体" w:eastAsia="方正小标宋简体"/>
          <w:b/>
          <w:snapToGrid w:val="0"/>
          <w:kern w:val="0"/>
          <w:sz w:val="52"/>
          <w:szCs w:val="44"/>
        </w:rPr>
      </w:pPr>
    </w:p>
    <w:p>
      <w:pPr>
        <w:pStyle w:val="2"/>
        <w:adjustRightInd w:val="0"/>
        <w:snapToGrid w:val="0"/>
        <w:spacing w:line="580" w:lineRule="exact"/>
        <w:ind w:firstLine="800"/>
        <w:rPr>
          <w:rFonts w:ascii="微软雅黑" w:hAnsi="微软雅黑" w:eastAsia="微软雅黑" w:cs="宋体"/>
          <w:b/>
          <w:bCs/>
          <w:color w:val="525353"/>
          <w:kern w:val="0"/>
          <w:sz w:val="34"/>
          <w:szCs w:val="22"/>
        </w:rPr>
      </w:pPr>
      <w:r>
        <w:rPr>
          <w:rFonts w:hint="eastAsia" w:ascii="微软雅黑" w:hAnsi="微软雅黑" w:eastAsia="微软雅黑" w:cs="宋体"/>
          <w:b/>
          <w:bCs/>
          <w:color w:val="525353"/>
          <w:kern w:val="0"/>
          <w:sz w:val="34"/>
          <w:szCs w:val="22"/>
        </w:rPr>
        <w:t>第一部分、部门概况</w:t>
      </w:r>
    </w:p>
    <w:p>
      <w:pPr>
        <w:pStyle w:val="2"/>
        <w:adjustRightInd w:val="0"/>
        <w:snapToGrid w:val="0"/>
        <w:spacing w:line="580" w:lineRule="exact"/>
        <w:ind w:firstLine="80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一、部门主要职责：</w:t>
      </w:r>
    </w:p>
    <w:p>
      <w:pPr>
        <w:pStyle w:val="2"/>
        <w:adjustRightInd w:val="0"/>
        <w:snapToGrid w:val="0"/>
        <w:spacing w:line="580" w:lineRule="exact"/>
        <w:ind w:firstLine="80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按照《中华人民共和国职业教育法》的有关规定，学校开展中等职业学历教育和职业培训活动以及社会相关技术服务等工作。广西工业技师学院直属于自治区工信厅，创建于1978年，校园占地面积约122亩，是首府南宁和北部湾经济区规模最大、特色鲜明、质量一流的国家级重点技工院校。2005年3月2日，原自治区劳动和社会保障厅批准在广西石化高级技工学校基础上设立广西工业技师学院。2016年5月6日，经自治区人民政府同意，广西石化高级技工学校更名为广西工业技师学院。</w:t>
      </w:r>
    </w:p>
    <w:p>
      <w:pPr>
        <w:pStyle w:val="2"/>
        <w:adjustRightInd w:val="0"/>
        <w:snapToGrid w:val="0"/>
        <w:spacing w:line="580" w:lineRule="exact"/>
        <w:ind w:firstLine="80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二、机构设置情况：</w:t>
      </w:r>
    </w:p>
    <w:p>
      <w:pPr>
        <w:pStyle w:val="2"/>
        <w:adjustRightInd w:val="0"/>
        <w:snapToGrid w:val="0"/>
        <w:spacing w:line="580" w:lineRule="exact"/>
        <w:ind w:firstLine="80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学院设有石化技术系、机械技术系、汽车技术系、电气技术系、信息商贸系、现代服务系、通用职业能力教育中心7个教学机构以及党委办公室、学院办公室、新校区建设办、人事科、纪检室、财务科、资产和项目管理办公室、教务科、信息中心、学生科、保卫科、招生就业科、职业培训科、教研教改与教师发展研究中心、教督室、后勤科、工会、团委共18个管理部门。</w:t>
      </w:r>
    </w:p>
    <w:p>
      <w:pPr>
        <w:pStyle w:val="2"/>
        <w:adjustRightInd w:val="0"/>
        <w:snapToGrid w:val="0"/>
        <w:spacing w:line="580" w:lineRule="exact"/>
        <w:ind w:firstLine="80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三、人员构成情况：</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现有在编教职工327人、新聘机关后勤控制数2人、编外教职工189人，退休职工103人，在校生12200多人。</w:t>
      </w:r>
    </w:p>
    <w:p>
      <w:pPr>
        <w:widowControl/>
        <w:shd w:val="clear" w:color="auto" w:fill="FFFFFF"/>
        <w:spacing w:line="384" w:lineRule="atLeast"/>
        <w:ind w:firstLine="816" w:firstLineChars="24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第二部分：广西工业技师学院2022年部门预算报表</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一、部门收支总表</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二、部门收入总表</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三、部门支出总表</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四、财政拨款收支总表</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五、一般公共预算支出表</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六、一般公共预算基本支出表</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七、一般公共预算“三公”经费支出表</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八、政府性基金预算支出表</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九、重点项目年度绩效目标</w:t>
      </w:r>
    </w:p>
    <w:p>
      <w:pPr>
        <w:pStyle w:val="2"/>
        <w:adjustRightInd w:val="0"/>
        <w:snapToGrid w:val="0"/>
        <w:spacing w:line="580" w:lineRule="exact"/>
        <w:ind w:firstLine="696" w:firstLineChars="205"/>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上述报表详见附件。</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第三部分：广西工业技师学院2022年部门预算及“三公”经费预算说明</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一、部门收支预算情况说明</w:t>
      </w:r>
    </w:p>
    <w:p>
      <w:pPr>
        <w:pStyle w:val="2"/>
        <w:adjustRightInd w:val="0"/>
        <w:snapToGrid w:val="0"/>
        <w:spacing w:line="580" w:lineRule="exact"/>
        <w:ind w:firstLine="666" w:firstLineChars="196"/>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2022年收入总预算34357.63万元，同比增加12312.74万元，同比增长55.85％。收入增长原因：主要为一般公共预算项目资金增加及我学院2022年预测新校区一期工程建设的招商引资及校企合作等建设资金增加收入。</w:t>
      </w:r>
    </w:p>
    <w:p>
      <w:pPr>
        <w:pStyle w:val="2"/>
        <w:adjustRightInd w:val="0"/>
        <w:snapToGrid w:val="0"/>
        <w:spacing w:line="580" w:lineRule="exact"/>
        <w:ind w:firstLine="696" w:firstLineChars="205"/>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2022年支出总预算34357.63万元，同比增加12312.74万元，同比增长55.85％。其中：基本支出预算5127.19万元，占支出总预算14.92％，同比增加63.89万元，增长1.26％，项目支出预算29230.44万元，占支出总预算85.08％，同比增加12248.85万元，增长72.13％。增长主要原因为一般公共预算增加及我学院2022年预测新校区一期工程建设资金增加支出。</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二、部门收入预算情况说明</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2022年收入总预算34357.63万元，同比增加12312.74万元，同比增长55.85％。其中：</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（1）、 一般公共预算拨款8918.56万元，同比增加950.29万元，增长 11.93％。</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（2）、 政府性基金预算拨款0万元</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（3）、 国有资本经营预算拨款0万元</w:t>
      </w:r>
    </w:p>
    <w:p>
      <w:pPr>
        <w:pStyle w:val="2"/>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（4）、 纳入财政专户管理的收入征收计划5439.07万元，同比增加1362.45万元，同比增长33.42％。其中：教育收费收入4649.07万元，同比增加1372.45万元，增长41.88％；住宿费收入征收计划730万元，同比减少70万元，减少8.75％，学费收入征收计划60万元，上年无此因素。</w:t>
      </w:r>
    </w:p>
    <w:p>
      <w:pPr>
        <w:pStyle w:val="2"/>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（5）、其他收入20000万元，同比增加10000万元，增长100%，主要为2022年新校区建设开支预算20000万元。</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三、部门支出预算情况说明</w:t>
      </w:r>
    </w:p>
    <w:p>
      <w:pPr>
        <w:pStyle w:val="2"/>
        <w:adjustRightInd w:val="0"/>
        <w:snapToGrid w:val="0"/>
        <w:spacing w:line="580" w:lineRule="exact"/>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 xml:space="preserve">      2022年支出总预算34357.63万元，同比增加12312.74万元，同比增长55.85％。</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（1）、按支出功能分类科目划分，共分为四类，其中：</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教育支出类科目33695.41万元，占支出总预算98.07％，同比增加12294.43万元，增长57.45％。</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社会保障和就业支出类科目366.21万元，占支出总预算1.07％，同比增加10.13万元，增长2.84％。</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医疗卫生和计划生育支出类科目112.91万元，占支出总预算0.33％，同比增加3.12万元，增长2.84％。</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住房保障支出类科目183.1万元，占支出总预算0.53％，同比增加 5.06万元，增长2.84％。</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（2）、按支出结构分类划分，分为基本支出预算和项目支出预算：</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 xml:space="preserve">基本支出预算。 </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基本支出预算5127.19万元，占支出总预算14.92％，同比增加63.89万元，增长1.26％。其中：</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人员类项目支出预算3348.97万元，占基本支出预算65.32%同比增加41.06万元，增长1.24%。其中：工资福利支出预算 2886.73万元，占基本支出预算56.3％，同比增加73.9万元，增长2.62％。对个人和家庭的补助预算462.24万元，占基本支出预算9.02％，同比下降32.74万元，下降6.61％。</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运转类公用经费项目支出（商品和服务支出）预算1778.22万元，占基本支出预算34.68％，同比增加22.83万元，增长1.3％。</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项目支出预算。</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项目支出预算29230.44万元，占支出总预算85.08％，同比增加12248.85万元，增长72.13％。</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四、财政拨款收支预算情况说明</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2022年财政拨款收入预算8918.56万元，同比增加950.29万元，增长 11.93％。</w:t>
      </w:r>
    </w:p>
    <w:p>
      <w:pPr>
        <w:pStyle w:val="2"/>
        <w:adjustRightInd w:val="0"/>
        <w:snapToGrid w:val="0"/>
        <w:spacing w:line="580" w:lineRule="exact"/>
        <w:ind w:firstLine="666" w:firstLineChars="196"/>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收入增减原因：主要为2022年免学费及国家助学金预算资金增加及2022年现代职业教育质量提升计划项目资金增加。</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2022年财政拨款支出预算8918.56万元，同比增加950.29万元，增长 11.93％。</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支出增减原因：主要为2022年免学费及国家助学金预算资金增加及2022年现代职业教育质量提升计划项目资金增加。</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五、一般公共预算支出情况说明</w:t>
      </w:r>
    </w:p>
    <w:p>
      <w:pPr>
        <w:pStyle w:val="2"/>
        <w:adjustRightInd w:val="0"/>
        <w:snapToGrid w:val="0"/>
        <w:spacing w:line="580" w:lineRule="exact"/>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 xml:space="preserve">    1.一般公共预算收支预算说明：</w:t>
      </w:r>
    </w:p>
    <w:p>
      <w:pPr>
        <w:pStyle w:val="2"/>
        <w:adjustRightInd w:val="0"/>
        <w:snapToGrid w:val="0"/>
        <w:spacing w:line="580" w:lineRule="exact"/>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 xml:space="preserve">    （1）、一般公共预算收入预算总规模、各项收入预算及增减变化情况。</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2022年一般公共预算收入预算8918.56万元，同比增加950.29万元，增长 11.93％。</w:t>
      </w:r>
    </w:p>
    <w:p>
      <w:pPr>
        <w:pStyle w:val="2"/>
        <w:adjustRightInd w:val="0"/>
        <w:snapToGrid w:val="0"/>
        <w:spacing w:line="580" w:lineRule="exact"/>
        <w:ind w:firstLine="666" w:firstLineChars="196"/>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收入增减原因：主要为2022年免学费及国家助学金预算资金增加及2022年现代职业教育质量提升计划项目资金增加。</w:t>
      </w:r>
    </w:p>
    <w:p>
      <w:pPr>
        <w:pStyle w:val="2"/>
        <w:adjustRightInd w:val="0"/>
        <w:snapToGrid w:val="0"/>
        <w:spacing w:line="580" w:lineRule="exact"/>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 xml:space="preserve">    （2）、一般公共预算支出预算总规模、各类支出预算规模及各类支出增减变化情况。</w:t>
      </w:r>
      <w:r>
        <w:rPr>
          <w:rFonts w:hint="eastAsia" w:ascii="微软雅黑" w:hAnsi="微软雅黑" w:eastAsia="微软雅黑" w:cs="宋体"/>
          <w:color w:val="525353"/>
          <w:kern w:val="0"/>
          <w:sz w:val="34"/>
          <w:szCs w:val="34"/>
        </w:rPr>
        <w:cr/>
      </w:r>
      <w:r>
        <w:rPr>
          <w:rFonts w:hint="eastAsia" w:ascii="微软雅黑" w:hAnsi="微软雅黑" w:eastAsia="微软雅黑" w:cs="宋体"/>
          <w:color w:val="525353"/>
          <w:kern w:val="0"/>
          <w:sz w:val="34"/>
          <w:szCs w:val="34"/>
        </w:rPr>
        <w:t xml:space="preserve">    2022年一般公共预算支出预算8918.56万元，同比增加950.29万元，增长 11.93％。</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①按支出功能分类科目划分，共分为四类，其中：</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教育支出类科目8378.41万元，占支出总预算93.94％，同比增加935.36万元，增长12.57％。</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社会保障和就业支出类科目244.14万元，占支出总预算2.74％，同比增加6.75万元，增长2.84％。</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医疗卫生和计划生育支出类科目112.91万元，占支出总预算1.27％，同比增加3.12万元，增长2.84％。</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住房保障支出类科目183.1万元，占支出总预算2.05％，同比增加 5.06万元，增长2.84％。</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支出增减原因：主要为2022年免学费及国家助学金预算资金增加及2022年现代职业教育质量提升计划项目资金增加。</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②按支出结构分类划分，分为基本支出预算和项目支出预算。</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 xml:space="preserve">基本支出预算。 </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基本支出预算4690.59万元，占支出总预算52.59％，同比增加27.88万元，增长0.6％。其中：</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人员类项目支出预算3041.97万元，占基本支出预算64.85%，同比增加7.45万元，增长0.25％。其中：工资福利支出预算2686.38万元，占基本支出预算57.27％，同比增加57.42万元，增长2.18％。对个人和家庭的补助预算355.6万元，占基本支出预算7.58％，同比减少49.96万元，下降12.32％。</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运转类公用经费项目支出（（商品和服务支出）预算1648.62万元，占基本支出预算35.15％，同比增加20.43万元，增长1.25％。</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支出增长原因为：本年生均公用经费拨款由1300元/生提高到1600元/生。</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项目支出预算。</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项目支出预算4227.97万元，占支出总预算47.41％，同增加922.41万元，增长27.9％。</w:t>
      </w:r>
    </w:p>
    <w:p>
      <w:pPr>
        <w:pStyle w:val="2"/>
        <w:adjustRightInd w:val="0"/>
        <w:snapToGrid w:val="0"/>
        <w:spacing w:line="580" w:lineRule="exact"/>
        <w:ind w:firstLine="666" w:firstLineChars="196"/>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支出增加原因：主要为免学费及国家助学金预算资金增加及增加2022年现代职业教育质量提升计划项目资金420万元。</w:t>
      </w:r>
    </w:p>
    <w:p>
      <w:pPr>
        <w:pStyle w:val="2"/>
        <w:adjustRightInd w:val="0"/>
        <w:snapToGrid w:val="0"/>
        <w:spacing w:line="580" w:lineRule="exact"/>
        <w:ind w:firstLine="666" w:firstLineChars="196"/>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２、政府性基金预算收支安排情况：无。</w:t>
      </w:r>
    </w:p>
    <w:p>
      <w:pPr>
        <w:pStyle w:val="2"/>
        <w:adjustRightInd w:val="0"/>
        <w:snapToGrid w:val="0"/>
        <w:spacing w:line="580" w:lineRule="exact"/>
        <w:ind w:firstLine="666" w:firstLineChars="196"/>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３、国有资本经营预算收支安排情况：无。</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六、一般公共预算基本支出情况说明</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基本支出预算4690.59万元，占支出总预算52.59％，同比增加27.88万元，增长0.6％。其中：</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人员类项目支出预算3041.97万元，占基本支出预算64.85%，同比增加7.45万元，增长0.25％。其中：工资福利支出预算2686.38万元，占基本支出预算57.27％，同比增加57.42万元，增长2.18％。对个人和家庭的补助预算355.6万元，占基本支出预算7.58％，同比减少49.96万元，下降12.32％。</w:t>
      </w:r>
    </w:p>
    <w:p>
      <w:pPr>
        <w:pStyle w:val="2"/>
        <w:adjustRightInd w:val="0"/>
        <w:snapToGrid w:val="0"/>
        <w:spacing w:line="580" w:lineRule="exact"/>
        <w:ind w:firstLine="66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运转类公用经费项目支出（（商品和服务支出）预算1648.62万元，占基本支出预算35.15％，同比增加20.43万元，增长1.25％。</w:t>
      </w:r>
    </w:p>
    <w:p>
      <w:pPr>
        <w:pStyle w:val="2"/>
        <w:adjustRightInd w:val="0"/>
        <w:snapToGrid w:val="0"/>
        <w:spacing w:line="580" w:lineRule="exact"/>
        <w:ind w:firstLine="666" w:firstLineChars="196"/>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支出增长原因为：本年生均公用经费拨款由1300元/生提高到1600元/生。</w:t>
      </w:r>
    </w:p>
    <w:p>
      <w:pPr>
        <w:pStyle w:val="2"/>
        <w:adjustRightInd w:val="0"/>
        <w:snapToGrid w:val="0"/>
        <w:spacing w:line="580" w:lineRule="exact"/>
        <w:ind w:firstLine="666" w:firstLineChars="196"/>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七、一般公共预算“三公”经费情况说明</w:t>
      </w:r>
    </w:p>
    <w:p>
      <w:pPr>
        <w:pStyle w:val="2"/>
        <w:adjustRightInd w:val="0"/>
        <w:snapToGrid w:val="0"/>
        <w:spacing w:line="580" w:lineRule="exact"/>
        <w:ind w:firstLine="666" w:firstLineChars="196"/>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2022年一般公共预算“三公”经费0万元，与上年持平。</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八、政府性基金预算情况说明</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本部门2022年无政府性基金预算。</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九、其他重要事项情况说明</w:t>
      </w:r>
    </w:p>
    <w:p>
      <w:pPr>
        <w:pStyle w:val="2"/>
        <w:adjustRightInd w:val="0"/>
        <w:snapToGrid w:val="0"/>
        <w:spacing w:line="580" w:lineRule="exact"/>
        <w:ind w:firstLine="663" w:firstLineChars="195"/>
        <w:rPr>
          <w:rFonts w:hint="eastAsia" w:ascii="微软雅黑" w:hAnsi="微软雅黑" w:eastAsia="微软雅黑" w:cs="宋体"/>
          <w:color w:val="525353"/>
          <w:kern w:val="0"/>
          <w:sz w:val="34"/>
          <w:szCs w:val="34"/>
          <w:lang w:val="en-US" w:eastAsia="zh-CN"/>
        </w:rPr>
      </w:pPr>
      <w:r>
        <w:rPr>
          <w:rFonts w:hint="eastAsia" w:ascii="微软雅黑" w:hAnsi="微软雅黑" w:eastAsia="微软雅黑" w:cs="宋体"/>
          <w:color w:val="525353"/>
          <w:kern w:val="0"/>
          <w:sz w:val="34"/>
          <w:szCs w:val="34"/>
          <w:lang w:val="en-US" w:eastAsia="zh-CN"/>
        </w:rPr>
        <w:t>（一）事业单位相关运行经费</w:t>
      </w:r>
    </w:p>
    <w:p>
      <w:pPr>
        <w:pStyle w:val="2"/>
        <w:adjustRightInd w:val="0"/>
        <w:snapToGrid w:val="0"/>
        <w:spacing w:line="580" w:lineRule="exact"/>
        <w:ind w:firstLine="663" w:firstLineChars="195"/>
        <w:rPr>
          <w:rFonts w:hint="eastAsia" w:ascii="微软雅黑" w:hAnsi="微软雅黑" w:eastAsia="微软雅黑" w:cs="宋体"/>
          <w:color w:val="525353"/>
          <w:kern w:val="0"/>
          <w:sz w:val="34"/>
          <w:szCs w:val="34"/>
          <w:lang w:val="en-US" w:eastAsia="zh-CN"/>
        </w:rPr>
      </w:pPr>
      <w:r>
        <w:rPr>
          <w:rFonts w:hint="eastAsia" w:ascii="微软雅黑" w:hAnsi="微软雅黑" w:eastAsia="微软雅黑" w:cs="宋体"/>
          <w:color w:val="525353"/>
          <w:kern w:val="0"/>
          <w:sz w:val="34"/>
          <w:szCs w:val="34"/>
          <w:lang w:val="en-US" w:eastAsia="zh-CN"/>
        </w:rPr>
        <w:t>事业单位相关运行经费主要指的是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本部门运行经费1618.1万元，占一般公共预算18.14%，同比增加19.58万元，增长1.22%，增加原因是在校学生人数增加，各项预算开支略有增长。</w:t>
      </w:r>
    </w:p>
    <w:p>
      <w:pPr>
        <w:pStyle w:val="2"/>
        <w:adjustRightInd w:val="0"/>
        <w:snapToGrid w:val="0"/>
        <w:spacing w:line="580" w:lineRule="exact"/>
        <w:ind w:firstLine="663" w:firstLineChars="195"/>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lang w:val="en-US" w:eastAsia="zh-CN"/>
        </w:rPr>
        <w:t>（二）</w:t>
      </w:r>
      <w:r>
        <w:rPr>
          <w:rFonts w:hint="eastAsia" w:ascii="微软雅黑" w:hAnsi="微软雅黑" w:eastAsia="微软雅黑" w:cs="宋体"/>
          <w:color w:val="525353"/>
          <w:kern w:val="0"/>
          <w:sz w:val="34"/>
          <w:szCs w:val="34"/>
        </w:rPr>
        <w:t>政府采购预算情况</w:t>
      </w:r>
    </w:p>
    <w:p>
      <w:pPr>
        <w:pStyle w:val="2"/>
        <w:adjustRightInd w:val="0"/>
        <w:snapToGrid w:val="0"/>
        <w:spacing w:line="580" w:lineRule="exact"/>
        <w:ind w:firstLine="663" w:firstLineChars="195"/>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2022年政府采购预算705.5万元，同比下降9634.5万元，下降93.18％；下降因素为2021年预算有新校区建设政府采购10000万元，2022年无此项目。政府集中采购预算4.5万元，占政府采购预算0.64％，同比下降15.2万元，下降77.16％；分散采购预算701万元，占政府采购预算99.36％，同比下降9619.3万元。</w:t>
      </w:r>
    </w:p>
    <w:p>
      <w:pPr>
        <w:pStyle w:val="2"/>
        <w:adjustRightInd w:val="0"/>
        <w:snapToGrid w:val="0"/>
        <w:spacing w:line="580" w:lineRule="exact"/>
        <w:ind w:firstLine="663" w:firstLineChars="195"/>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货物</w:t>
      </w:r>
      <w:bookmarkStart w:id="0" w:name="_GoBack"/>
      <w:bookmarkEnd w:id="0"/>
      <w:r>
        <w:rPr>
          <w:rFonts w:hint="eastAsia" w:ascii="微软雅黑" w:hAnsi="微软雅黑" w:eastAsia="微软雅黑" w:cs="宋体"/>
          <w:color w:val="525353"/>
          <w:kern w:val="0"/>
          <w:sz w:val="34"/>
          <w:szCs w:val="34"/>
        </w:rPr>
        <w:t>采购705.5万元，占政府采购预算100%。其中：学院2022年定额商品服务-办公费开支：办公用品A4复印纸2000箱4.5万元；学院2022年定额商品服务-办公费开支办公设备21万元为：10代酷睿I5电脑25台12.5万元，</w:t>
      </w:r>
      <w:r>
        <w:rPr>
          <w:rFonts w:ascii="微软雅黑" w:hAnsi="微软雅黑" w:eastAsia="微软雅黑" w:cs="宋体"/>
          <w:color w:val="525353"/>
          <w:kern w:val="0"/>
          <w:sz w:val="34"/>
          <w:szCs w:val="34"/>
        </w:rPr>
        <w:t>高速扫描打印机（柯尼卡美能达C266）</w:t>
      </w:r>
      <w:r>
        <w:rPr>
          <w:rFonts w:hint="eastAsia" w:ascii="微软雅黑" w:hAnsi="微软雅黑" w:eastAsia="微软雅黑" w:cs="宋体"/>
          <w:color w:val="525353"/>
          <w:kern w:val="0"/>
          <w:sz w:val="34"/>
          <w:szCs w:val="34"/>
        </w:rPr>
        <w:t>1台2.4万元，</w:t>
      </w:r>
      <w:r>
        <w:rPr>
          <w:rFonts w:ascii="微软雅黑" w:hAnsi="微软雅黑" w:eastAsia="微软雅黑" w:cs="宋体"/>
          <w:color w:val="525353"/>
          <w:kern w:val="0"/>
          <w:sz w:val="34"/>
          <w:szCs w:val="34"/>
        </w:rPr>
        <w:t>高速自动双面打印/复印/扫描/传真机（爱普生</w:t>
      </w:r>
      <w:r>
        <w:rPr>
          <w:rFonts w:hint="eastAsia" w:ascii="微软雅黑" w:hAnsi="微软雅黑" w:eastAsia="微软雅黑" w:cs="宋体"/>
          <w:color w:val="525353"/>
          <w:kern w:val="0"/>
          <w:sz w:val="34"/>
          <w:szCs w:val="34"/>
        </w:rPr>
        <w:t>WF-M5799）1台0.6万元，办公桌（钢木）10套2万元，保险柜1个0.3万元，激光打印机（HP）5台1.2万元，碎纸机1台0.3万元，格力柜式空调（1.5P）2台1.7万元；专用设备购置360万元为2022年现代职业教育发展专项项目信息中心等保建设100万元，教学设备260万元（详见项目说明，其中项目说明为280万元，差异20万元为华为核心交换机1台20万元使用上属教学设备，但政采上放入办公设备政采）；教学专用仪器270万元为2022年</w:t>
      </w:r>
      <w:r>
        <w:rPr>
          <w:rFonts w:ascii="微软雅黑" w:hAnsi="微软雅黑" w:eastAsia="微软雅黑" w:cs="宋体"/>
          <w:color w:val="525353"/>
          <w:kern w:val="0"/>
          <w:sz w:val="34"/>
          <w:szCs w:val="34"/>
        </w:rPr>
        <w:t>现代职业教育质量提升计划（中央资金）项目采购学院两个品牌专业硬件设备（详见项目说明）</w:t>
      </w:r>
      <w:r>
        <w:rPr>
          <w:rFonts w:hint="eastAsia" w:ascii="微软雅黑" w:hAnsi="微软雅黑" w:eastAsia="微软雅黑" w:cs="宋体"/>
          <w:color w:val="525353"/>
          <w:kern w:val="0"/>
          <w:sz w:val="34"/>
          <w:szCs w:val="34"/>
        </w:rPr>
        <w:t>；</w:t>
      </w:r>
      <w:r>
        <w:rPr>
          <w:rFonts w:ascii="微软雅黑" w:hAnsi="微软雅黑" w:eastAsia="微软雅黑" w:cs="宋体"/>
          <w:color w:val="525353"/>
          <w:kern w:val="0"/>
          <w:sz w:val="34"/>
          <w:szCs w:val="34"/>
        </w:rPr>
        <w:t>办公设备</w:t>
      </w:r>
      <w:r>
        <w:rPr>
          <w:rFonts w:hint="eastAsia" w:ascii="微软雅黑" w:hAnsi="微软雅黑" w:eastAsia="微软雅黑" w:cs="宋体"/>
          <w:color w:val="525353"/>
          <w:kern w:val="0"/>
          <w:sz w:val="34"/>
          <w:szCs w:val="34"/>
        </w:rPr>
        <w:t>50万元为2022年现代职业教育发展专项项目采购学院监控设备30万元，采购华为核心交换机1台20万元。</w:t>
      </w:r>
    </w:p>
    <w:p>
      <w:pPr>
        <w:pStyle w:val="2"/>
        <w:adjustRightInd w:val="0"/>
        <w:snapToGrid w:val="0"/>
        <w:spacing w:line="580" w:lineRule="exact"/>
        <w:ind w:firstLine="663" w:firstLineChars="195"/>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lang w:val="en-US" w:eastAsia="zh-CN"/>
        </w:rPr>
        <w:t>（三）</w:t>
      </w:r>
      <w:r>
        <w:rPr>
          <w:rFonts w:hint="eastAsia" w:ascii="微软雅黑" w:hAnsi="微软雅黑" w:eastAsia="微软雅黑" w:cs="宋体"/>
          <w:color w:val="525353"/>
          <w:kern w:val="0"/>
          <w:sz w:val="34"/>
          <w:szCs w:val="34"/>
        </w:rPr>
        <w:t>国有资产占用情况</w:t>
      </w:r>
    </w:p>
    <w:p>
      <w:pPr>
        <w:pStyle w:val="2"/>
        <w:adjustRightInd w:val="0"/>
        <w:snapToGrid w:val="0"/>
        <w:spacing w:line="580" w:lineRule="exact"/>
        <w:ind w:firstLine="663" w:firstLineChars="195"/>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我学院现有在用公务车辆5台总价值78.78万元，其中有编制证车辆2台价值35.96万元，均为小型汽车。</w:t>
      </w:r>
    </w:p>
    <w:p>
      <w:pPr>
        <w:pStyle w:val="2"/>
        <w:adjustRightInd w:val="0"/>
        <w:snapToGrid w:val="0"/>
        <w:spacing w:line="580" w:lineRule="exact"/>
        <w:ind w:firstLine="663" w:firstLineChars="195"/>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lang w:val="en-US" w:eastAsia="zh-CN"/>
        </w:rPr>
        <w:t>（四）</w:t>
      </w:r>
      <w:r>
        <w:rPr>
          <w:rFonts w:hint="eastAsia" w:ascii="微软雅黑" w:hAnsi="微软雅黑" w:eastAsia="微软雅黑" w:cs="宋体"/>
          <w:color w:val="525353"/>
          <w:kern w:val="0"/>
          <w:sz w:val="34"/>
          <w:szCs w:val="34"/>
        </w:rPr>
        <w:t>重点项目预算绩效目标等情况说明</w:t>
      </w:r>
    </w:p>
    <w:p>
      <w:pPr>
        <w:widowControl/>
        <w:shd w:val="clear" w:color="auto" w:fill="FFFFFF"/>
        <w:spacing w:line="384" w:lineRule="atLeast"/>
        <w:ind w:firstLine="480"/>
        <w:rPr>
          <w:rFonts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本部门2022年部门预算项目支出29230.44万元，全部编制了项目绩效目标，其中：一般公共预算项目支出4227.97万。本次预算公开重点项目预算绩效目标2个，合计金额1220万元，占一般公共预算项目支出28.85%，分别是广西工业技师学院现代职业教育质量提升计划(中央资金)420万元，广西工业技师学院现代职业教育发展经费(办学条件达标)800万元。具体内容详见附件《重点项目年度绩效目标》。</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b/>
          <w:bCs/>
          <w:color w:val="525353"/>
          <w:kern w:val="0"/>
          <w:sz w:val="34"/>
        </w:rPr>
        <w:t>第四部分：名词解释</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一、财政拨款收入：指自治区财政部门当年拨付的资金。</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二、事业收入：指事业单位开展专业业务活动及辅助活动所取得的收入。</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三、经营收入：指事业单位在专业业务活动及其辅助活动之外开展非独立核算经营活动取得的收入。</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四、其他收入：指除上述“财政拨款收入”、“事业收入”、“经营收入”等以外的收入。</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五、年初结转和结余：指以前年度尚未完成、结转到本年 按有关规定继续使用的资金。</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六、结余分配：指事业单位按规定提取的职工福利基金、事业基金和缴纳的所得税，以及建设单位按规定应交回的基本建设竣工项目结余资金。</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七、年末结转和结余：指本年度或以前年度预算安排、因客观条件发生变化无法按原计划实施，需要延迟到以后年度按有关规定继续使用的资金。</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八、基本支出：指为保障机构正常运转、完成日常工作任务而发生的人员支出和公用支出。</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九、项目支出：指在基本支出之外为完成特定行政任务和事业发展目标所发生的支出。</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十、经营支出：指事业单位在专业业务活动及其辅助活动之外开展非独立核算经营活动发生的支出。</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十一、“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十二、</w:t>
      </w:r>
      <w:r>
        <w:rPr>
          <w:rFonts w:hint="eastAsia" w:ascii="微软雅黑" w:hAnsi="微软雅黑" w:eastAsia="微软雅黑" w:cs="宋体"/>
          <w:color w:val="525353"/>
          <w:kern w:val="0"/>
          <w:sz w:val="34"/>
          <w:szCs w:val="34"/>
          <w:lang w:val="en-US" w:eastAsia="zh-CN"/>
        </w:rPr>
        <w:t>事业单位相关运行经费</w:t>
      </w:r>
      <w:r>
        <w:rPr>
          <w:rFonts w:hint="eastAsia" w:ascii="微软雅黑" w:hAnsi="微软雅黑" w:eastAsia="微软雅黑" w:cs="宋体"/>
          <w:color w:val="525353"/>
          <w:kern w:val="0"/>
          <w:sz w:val="34"/>
          <w:szCs w:val="3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十三、教育（类）：指自治区工业和信息化厅直属院校用于教育方面的支出。包括中专教育、技校教育、高等职业教育和其他职业教育支出。</w:t>
      </w:r>
    </w:p>
    <w:p>
      <w:pPr>
        <w:widowControl/>
        <w:shd w:val="clear" w:color="auto" w:fill="FFFFFF"/>
        <w:spacing w:line="384" w:lineRule="atLeast"/>
        <w:ind w:firstLine="480"/>
        <w:rPr>
          <w:rFonts w:hint="eastAsia" w:ascii="微软雅黑" w:hAnsi="微软雅黑" w:eastAsia="微软雅黑" w:cs="宋体"/>
          <w:color w:val="525353"/>
          <w:kern w:val="0"/>
          <w:sz w:val="34"/>
          <w:szCs w:val="34"/>
        </w:rPr>
      </w:pPr>
      <w:r>
        <w:rPr>
          <w:rFonts w:hint="eastAsia" w:ascii="微软雅黑" w:hAnsi="微软雅黑" w:eastAsia="微软雅黑" w:cs="宋体"/>
          <w:color w:val="525353"/>
          <w:kern w:val="0"/>
          <w:sz w:val="34"/>
          <w:szCs w:val="34"/>
        </w:rPr>
        <w:t>十四、资源勘探信息等事务（类）：指自治区工业和信息化厅用于开展工业和信息化相关工作的支出。包括制造业、工业和信息产业监管、支持中小企业发展和管理等内容。</w:t>
      </w:r>
    </w:p>
    <w:p>
      <w:pPr>
        <w:pStyle w:val="2"/>
        <w:adjustRightInd w:val="0"/>
        <w:snapToGrid w:val="0"/>
        <w:spacing w:line="580" w:lineRule="exact"/>
        <w:ind w:firstLine="409" w:firstLineChars="19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5NzRmMDRhOGY3ODM4YjIwMjc0NmI1ZTU4NDZlNDIifQ=="/>
  </w:docVars>
  <w:rsids>
    <w:rsidRoot w:val="001E00C1"/>
    <w:rsid w:val="00012C65"/>
    <w:rsid w:val="000174C6"/>
    <w:rsid w:val="00025321"/>
    <w:rsid w:val="00040D3D"/>
    <w:rsid w:val="0006032B"/>
    <w:rsid w:val="00071A38"/>
    <w:rsid w:val="00086C6B"/>
    <w:rsid w:val="00090862"/>
    <w:rsid w:val="000A5E8D"/>
    <w:rsid w:val="000D07EC"/>
    <w:rsid w:val="000D5033"/>
    <w:rsid w:val="000D7B50"/>
    <w:rsid w:val="000E0DE9"/>
    <w:rsid w:val="000E1039"/>
    <w:rsid w:val="001114B3"/>
    <w:rsid w:val="00117E9C"/>
    <w:rsid w:val="001246CF"/>
    <w:rsid w:val="00145A39"/>
    <w:rsid w:val="00156146"/>
    <w:rsid w:val="00161645"/>
    <w:rsid w:val="00167987"/>
    <w:rsid w:val="001A3092"/>
    <w:rsid w:val="001A7E0A"/>
    <w:rsid w:val="001B76A7"/>
    <w:rsid w:val="001C221F"/>
    <w:rsid w:val="001E00C1"/>
    <w:rsid w:val="001E2CFF"/>
    <w:rsid w:val="001E7AFC"/>
    <w:rsid w:val="001F6866"/>
    <w:rsid w:val="002127AD"/>
    <w:rsid w:val="0021551A"/>
    <w:rsid w:val="00215526"/>
    <w:rsid w:val="00245B9E"/>
    <w:rsid w:val="00275D22"/>
    <w:rsid w:val="002B2AF3"/>
    <w:rsid w:val="002C3142"/>
    <w:rsid w:val="002E1665"/>
    <w:rsid w:val="00301800"/>
    <w:rsid w:val="00310EDB"/>
    <w:rsid w:val="003251FC"/>
    <w:rsid w:val="00352C33"/>
    <w:rsid w:val="00355AE4"/>
    <w:rsid w:val="00364197"/>
    <w:rsid w:val="003879B9"/>
    <w:rsid w:val="00391841"/>
    <w:rsid w:val="003B58DD"/>
    <w:rsid w:val="003C6E53"/>
    <w:rsid w:val="003D2808"/>
    <w:rsid w:val="003D6088"/>
    <w:rsid w:val="003D787A"/>
    <w:rsid w:val="00402A58"/>
    <w:rsid w:val="004107C7"/>
    <w:rsid w:val="004273E4"/>
    <w:rsid w:val="00441B9B"/>
    <w:rsid w:val="00442830"/>
    <w:rsid w:val="00442B82"/>
    <w:rsid w:val="00467ECE"/>
    <w:rsid w:val="0048103A"/>
    <w:rsid w:val="004A65D4"/>
    <w:rsid w:val="004B238B"/>
    <w:rsid w:val="004D6D59"/>
    <w:rsid w:val="005137FE"/>
    <w:rsid w:val="00515A56"/>
    <w:rsid w:val="00517278"/>
    <w:rsid w:val="00520095"/>
    <w:rsid w:val="005223D4"/>
    <w:rsid w:val="00523BB3"/>
    <w:rsid w:val="005656AD"/>
    <w:rsid w:val="00592D6B"/>
    <w:rsid w:val="005A6540"/>
    <w:rsid w:val="005B1148"/>
    <w:rsid w:val="005C1D94"/>
    <w:rsid w:val="005C1F73"/>
    <w:rsid w:val="005C729D"/>
    <w:rsid w:val="00603950"/>
    <w:rsid w:val="00612428"/>
    <w:rsid w:val="00651AE5"/>
    <w:rsid w:val="00654E8C"/>
    <w:rsid w:val="00692503"/>
    <w:rsid w:val="00692874"/>
    <w:rsid w:val="00695542"/>
    <w:rsid w:val="006A4040"/>
    <w:rsid w:val="006D75E1"/>
    <w:rsid w:val="006E002C"/>
    <w:rsid w:val="006E1EA4"/>
    <w:rsid w:val="00703760"/>
    <w:rsid w:val="00721551"/>
    <w:rsid w:val="007374AD"/>
    <w:rsid w:val="00740FDE"/>
    <w:rsid w:val="00745A82"/>
    <w:rsid w:val="00747F01"/>
    <w:rsid w:val="00753291"/>
    <w:rsid w:val="007556BB"/>
    <w:rsid w:val="00756552"/>
    <w:rsid w:val="00761ED9"/>
    <w:rsid w:val="00762756"/>
    <w:rsid w:val="00777D7D"/>
    <w:rsid w:val="007B2892"/>
    <w:rsid w:val="007B289B"/>
    <w:rsid w:val="007E5EA4"/>
    <w:rsid w:val="007E766E"/>
    <w:rsid w:val="00805E3D"/>
    <w:rsid w:val="00836657"/>
    <w:rsid w:val="00844F28"/>
    <w:rsid w:val="00846607"/>
    <w:rsid w:val="00854548"/>
    <w:rsid w:val="00863FE5"/>
    <w:rsid w:val="00866881"/>
    <w:rsid w:val="008862CA"/>
    <w:rsid w:val="008869DC"/>
    <w:rsid w:val="008B4119"/>
    <w:rsid w:val="008C08F5"/>
    <w:rsid w:val="008F0ED6"/>
    <w:rsid w:val="008F27A4"/>
    <w:rsid w:val="008F299B"/>
    <w:rsid w:val="008F7A63"/>
    <w:rsid w:val="00902B23"/>
    <w:rsid w:val="0090787F"/>
    <w:rsid w:val="00912B03"/>
    <w:rsid w:val="00926389"/>
    <w:rsid w:val="00931EF3"/>
    <w:rsid w:val="00952FBF"/>
    <w:rsid w:val="00953774"/>
    <w:rsid w:val="00955A55"/>
    <w:rsid w:val="00956947"/>
    <w:rsid w:val="00966773"/>
    <w:rsid w:val="009712B4"/>
    <w:rsid w:val="00986242"/>
    <w:rsid w:val="009B09A0"/>
    <w:rsid w:val="009C2E95"/>
    <w:rsid w:val="009E7A72"/>
    <w:rsid w:val="00A47229"/>
    <w:rsid w:val="00A61467"/>
    <w:rsid w:val="00A64C47"/>
    <w:rsid w:val="00AA4CE6"/>
    <w:rsid w:val="00AC5955"/>
    <w:rsid w:val="00AD02F0"/>
    <w:rsid w:val="00AE3BFC"/>
    <w:rsid w:val="00AF6426"/>
    <w:rsid w:val="00B02EF4"/>
    <w:rsid w:val="00B039B9"/>
    <w:rsid w:val="00B577D1"/>
    <w:rsid w:val="00B67A47"/>
    <w:rsid w:val="00B74CC3"/>
    <w:rsid w:val="00B7580D"/>
    <w:rsid w:val="00B955A7"/>
    <w:rsid w:val="00BA0B68"/>
    <w:rsid w:val="00BA14A3"/>
    <w:rsid w:val="00BA4075"/>
    <w:rsid w:val="00BA43F2"/>
    <w:rsid w:val="00BB6FE9"/>
    <w:rsid w:val="00BC2825"/>
    <w:rsid w:val="00C010C2"/>
    <w:rsid w:val="00C2280C"/>
    <w:rsid w:val="00C32B3E"/>
    <w:rsid w:val="00C56596"/>
    <w:rsid w:val="00C6438B"/>
    <w:rsid w:val="00C67C1B"/>
    <w:rsid w:val="00CA4E13"/>
    <w:rsid w:val="00CB7BCD"/>
    <w:rsid w:val="00CC028E"/>
    <w:rsid w:val="00CE702F"/>
    <w:rsid w:val="00D04797"/>
    <w:rsid w:val="00D17A81"/>
    <w:rsid w:val="00D3380F"/>
    <w:rsid w:val="00D421EE"/>
    <w:rsid w:val="00D641CC"/>
    <w:rsid w:val="00D71D04"/>
    <w:rsid w:val="00D93C37"/>
    <w:rsid w:val="00DC36D7"/>
    <w:rsid w:val="00DC3E44"/>
    <w:rsid w:val="00DF1CB5"/>
    <w:rsid w:val="00DF6764"/>
    <w:rsid w:val="00E02078"/>
    <w:rsid w:val="00E14D18"/>
    <w:rsid w:val="00E163D9"/>
    <w:rsid w:val="00E22ABE"/>
    <w:rsid w:val="00E30C91"/>
    <w:rsid w:val="00E35CCB"/>
    <w:rsid w:val="00E4055F"/>
    <w:rsid w:val="00E76137"/>
    <w:rsid w:val="00EA649F"/>
    <w:rsid w:val="00EA68DF"/>
    <w:rsid w:val="00EC469A"/>
    <w:rsid w:val="00ED32C6"/>
    <w:rsid w:val="00EF63A4"/>
    <w:rsid w:val="00F1072D"/>
    <w:rsid w:val="00F472D1"/>
    <w:rsid w:val="00F475D8"/>
    <w:rsid w:val="00F66E9A"/>
    <w:rsid w:val="00F730EE"/>
    <w:rsid w:val="00FA3EAD"/>
    <w:rsid w:val="00FB0196"/>
    <w:rsid w:val="00FC48F7"/>
    <w:rsid w:val="00FD09BD"/>
    <w:rsid w:val="00FD52EC"/>
    <w:rsid w:val="00FE7D74"/>
    <w:rsid w:val="00FF6F45"/>
    <w:rsid w:val="185F657B"/>
    <w:rsid w:val="1D891F04"/>
    <w:rsid w:val="31F4350A"/>
    <w:rsid w:val="72B3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iPriority w:val="0"/>
    <w:rPr>
      <w:rFonts w:ascii="宋体" w:hAnsi="Courier New"/>
      <w:szCs w:val="21"/>
    </w:rPr>
  </w:style>
  <w:style w:type="paragraph" w:styleId="3">
    <w:name w:val="Normal (Web)"/>
    <w:basedOn w:val="1"/>
    <w:uiPriority w:val="0"/>
    <w:pPr>
      <w:spacing w:before="100" w:beforeAutospacing="1" w:after="100" w:afterAutospacing="1"/>
      <w:jc w:val="left"/>
    </w:pPr>
    <w:rPr>
      <w:kern w:val="0"/>
      <w:sz w:val="24"/>
    </w:rPr>
  </w:style>
  <w:style w:type="character" w:customStyle="1" w:styleId="6">
    <w:name w:val="fontbig-1"/>
    <w:basedOn w:val="5"/>
    <w:qFormat/>
    <w:uiPriority w:val="0"/>
  </w:style>
  <w:style w:type="character" w:customStyle="1" w:styleId="7">
    <w:name w:val="纯文本 Char"/>
    <w:basedOn w:val="5"/>
    <w:link w:val="2"/>
    <w:uiPriority w:val="0"/>
    <w:rPr>
      <w:rFonts w:ascii="宋体" w:hAnsi="Courier New" w:eastAsia="宋体" w:cs="Times New Roman"/>
      <w:szCs w:val="21"/>
    </w:rPr>
  </w:style>
  <w:style w:type="paragraph" w:styleId="8">
    <w:name w:val="List Paragraph"/>
    <w:basedOn w:val="1"/>
    <w:qFormat/>
    <w:uiPriority w:val="34"/>
    <w:pPr>
      <w:ind w:firstLine="420" w:firstLineChars="200"/>
    </w:pPr>
  </w:style>
  <w:style w:type="character" w:customStyle="1" w:styleId="9">
    <w:name w:val="article_print"/>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846</Words>
  <Characters>4823</Characters>
  <Lines>40</Lines>
  <Paragraphs>11</Paragraphs>
  <TotalTime>9</TotalTime>
  <ScaleCrop>false</ScaleCrop>
  <LinksUpToDate>false</LinksUpToDate>
  <CharactersWithSpaces>5658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2020-12-03T11:52:00Z</dcterms:created>
  <dc:creator>Lenovo</dc:creator>
  <cp:lastModifiedBy>覃曼娜</cp:lastModifiedBy>
  <dcterms:modified xsi:type="dcterms:W3CDTF">2024-03-15T08:58:18Z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5FFBE3F483A14CD4A82D8DB683025C17_12</vt:lpwstr>
  </property>
</Properties>
</file>