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529"/>
        <w:gridCol w:w="1328"/>
        <w:gridCol w:w="3268"/>
        <w:gridCol w:w="664"/>
        <w:gridCol w:w="654"/>
        <w:gridCol w:w="675"/>
        <w:gridCol w:w="933"/>
        <w:gridCol w:w="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2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附件：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第二届全国职业技能大赛化学实验室技术项目设备采购清单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物品名称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型号规格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</w:rPr>
              <w:t>主要技术参数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金额小计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（元）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分光光度计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M600-DS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一、功能: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1、采用低杂散光的全息光栅，优化的光路设计，保证了仪器更高的测量精度；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2、全新的波长驱动机构，大幅提高了波长精度和重复性，有效降低运行噪声；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3、可通过 USB 连接个人电脑，通过软件可反控仪器，丰富和扩展应用；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4、双组份功能：自动计算出两种组分各自的线性方程和浓度；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5、光谱扫描：自动显示波峰/波谷；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6、定量测量：比色皿槽差校正、标曲异常点排除/重测、上下限阈值设定； 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7、测量数据导出：可通过 U 盘导出； 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8、支持 10 国语言切换功能，适应世界技能大赛；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9、★ChinaSkills专家证明（投标时需提供证明复印件）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10、★售后工程师具备结构工程资格证书（提供复印件加盖制造厂家公章）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11、★选配连续10年工业分析检验、化学实验技术、水处理技能大赛软件（技能大赛说明函加盖制造厂家公章）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12、★该仪器具备槽差校正功能（投标时需提供该功能图片盖章）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二、技术参数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测光方式：比例双光束 ;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灯源：氙灯（超长寿命，五年质保）;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波长范围：190.0～1100.0nm ;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 波长准确性：±0.3nm ;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 波长重复性：≤0.2nm ;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6. 光谱带宽：2nm; 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 显示范围：0～400％T、-0.4～4Abs、0.000～9999C ;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 透射比度准确性：±0.3％T ;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9. 透射比重复性：≤0.15％T 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 杂散光：≤0.05%T（220nm NaI，360nm NaNO2）;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11. 色散元件：光栅，1200L/mm ;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 检测器：硅光二极管×2 ;</w:t>
            </w:r>
          </w:p>
          <w:p>
            <w:pPr>
              <w:pStyle w:val="4"/>
              <w:spacing w:line="283" w:lineRule="exact"/>
              <w:ind w:left="10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 波长移动速度:10000nm/mi;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14.★主机包含有性能验证功能 ，具有波长精度，波长重复性，光度精度，光度重复性，杂散光，分辨率验证功能，方便用户进行仪器性能验证。（提供软件截图佐证）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红外压片机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FTIR-650DS型红外光谱仪配件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压力范围（0-15T）,镀铬油缸φ80mm,活塞形成30mm,0-40MPa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压力压强双显示，重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38kg；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lang w:bidi="ar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红外固体压片模具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FTIR-650DS型红外光谱仪配件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直径φ13mm，无需脱模，带有配套插板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lang w:bidi="ar"/>
              </w:rPr>
              <w:t>4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恒温磁力搅拌器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ZNCL-GS-C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功能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1.多种故障识别检测功能，采用主动保护技术，安全性高，有效预防事故发生。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2.温控采用两个控制系统，可对被加热介质和加热体(即加热盘)分别单独控制，无需自整定!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3.温度传感器:第一路传感器(内部传感器)PT100热电阻;第二路传感器(外部传感器)PT100热电阻，可双路同时显示。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4.加热盘温度(内部传感器温度)被加热介质温度(外部传感器温度)设定温度、实际转速均直观显示，方便安全。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5.具有计时(显示工作时间，便于实验记录)、定时、加热 盘上部高温及被加热介质温度控制切换功能。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6.转速一体化调节旋钮，采用智能算法，编码器一键飞梭设置，则数字增加变快，如需微调刻度，则可缓慢旋转，并且具有防误触碰设置。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7.具备一键开关功能即转速和温控均可一键开关，单独使用。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8.采用大功率永磁直流电机，噪音低，转速恒定，速度控制精确度高。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9.加热板，耐高温，耐腐蚀。10.加热、搅拌均可单独操作控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11.保护功能:防干烧、传感器放置错误、可控硅击穿、漏电保护、过流保护等。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12.内外温度控制可以自由切换，适合于非接触控温，针对腐蚀性液体控温非常有用。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13.采用高端控制算法，加热速度快，控制更稳定，温冲更小，适合于快捷实验及精确实验。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14.自动存储功能(即开机后在00控温模式下，设定温度可 以自动存贮，下次使用自动调出，使用过程更加人性化)。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15.内置限温检测功能，防止超温失控。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二、技术参数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1.电源:AC220V+10% 50/60 Hz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2.加热功率:650W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3.工作尺寸:190X105mm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4.电机功率:40W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5.搅拌转速:30~2000r/min、控速精度:±5r/min6.控温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范围:室温~280°℃&gt;控温精度:±0.5°℃、测温分辨力:0.1°℃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7.定时时间设定范围:1-999分钟。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8.炉丝:Cr20Ni80o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986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hint="eastAsia" w:ascii="Arial" w:hAnsi="Arial" w:cs="Arial"/>
                <w:color w:val="000000"/>
                <w:sz w:val="22"/>
              </w:rPr>
              <w:t>¥</w:t>
            </w:r>
            <w:r>
              <w:rPr>
                <w:rFonts w:hint="eastAsia" w:ascii="Arial" w:hAnsi="Arial" w:cs="Arial"/>
                <w:color w:val="000000"/>
                <w:sz w:val="22"/>
                <w:u w:val="single"/>
              </w:rPr>
              <w:t xml:space="preserve">             </w:t>
            </w:r>
            <w:r>
              <w:rPr>
                <w:rFonts w:hint="eastAsia" w:ascii="Arial" w:hAnsi="Arial" w:cs="Arial"/>
                <w:color w:val="000000"/>
                <w:sz w:val="22"/>
              </w:rPr>
              <w:t>元</w:t>
            </w:r>
          </w:p>
        </w:tc>
      </w:tr>
    </w:tbl>
    <w:p>
      <w:pPr>
        <w:tabs>
          <w:tab w:val="left" w:pos="1005"/>
        </w:tabs>
        <w:rPr>
          <w:rFonts w:ascii="宋体" w:hAnsi="宋体" w:eastAsia="宋体" w:cs="宋体"/>
          <w:color w:val="FF0000"/>
          <w:sz w:val="28"/>
          <w:szCs w:val="28"/>
        </w:rPr>
      </w:pPr>
    </w:p>
    <w:p/>
    <w:sectPr>
      <w:pgSz w:w="11906" w:h="16838"/>
      <w:pgMar w:top="1134" w:right="1020" w:bottom="1134" w:left="1020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59764"/>
    <w:multiLevelType w:val="singleLevel"/>
    <w:tmpl w:val="8B6597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NThhZDgyOTI1YjBkZjlkZDFjMTRjOGE3YzFmMWUifQ=="/>
  </w:docVars>
  <w:rsids>
    <w:rsidRoot w:val="5E6F554E"/>
    <w:rsid w:val="5E6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2023-09-27T06:55:00Z</dcterms:created>
  <dc:creator>Miracle</dc:creator>
  <cp:lastModifiedBy>Miracle</cp:lastModifiedBy>
  <dcterms:modified xsi:type="dcterms:W3CDTF">2023-09-27T06:55:29Z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D656547267EC44F49094BE18BD60C220_11</vt:lpwstr>
  </property>
</Properties>
</file>